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D" w:rsidRDefault="00BA64A1" w:rsidP="00E358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5813" w:rsidRDefault="00E35813" w:rsidP="00E358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Itaquaquecetuba, 2</w:t>
      </w:r>
      <w:r w:rsidR="00840796">
        <w:rPr>
          <w:rFonts w:ascii="Arial" w:hAnsi="Arial" w:cs="Arial"/>
          <w:sz w:val="24"/>
          <w:szCs w:val="24"/>
        </w:rPr>
        <w:t>8</w:t>
      </w:r>
      <w:r w:rsidR="00445DA9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445DA9" w:rsidRDefault="00445DA9" w:rsidP="00445DA9">
      <w:pPr>
        <w:rPr>
          <w:rFonts w:ascii="Arial" w:hAnsi="Arial" w:cs="Arial"/>
          <w:b/>
          <w:sz w:val="24"/>
          <w:szCs w:val="24"/>
          <w:u w:val="single"/>
        </w:rPr>
      </w:pPr>
    </w:p>
    <w:p w:rsidR="00E35813" w:rsidRPr="00445DA9" w:rsidRDefault="00445DA9" w:rsidP="00445D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EXPOSIÇÃO DE MOTIVOS AO PROJETO DE LEI            </w:t>
      </w:r>
      <w:r w:rsidR="003B7570">
        <w:rPr>
          <w:rFonts w:ascii="Arial" w:hAnsi="Arial" w:cs="Arial"/>
          <w:b/>
          <w:sz w:val="24"/>
          <w:szCs w:val="24"/>
          <w:u w:val="single"/>
        </w:rPr>
        <w:t>85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/2017.</w:t>
      </w:r>
    </w:p>
    <w:p w:rsidR="00E35813" w:rsidRDefault="00E35813" w:rsidP="00E35813">
      <w:pPr>
        <w:spacing w:before="240"/>
        <w:ind w:left="3402"/>
        <w:jc w:val="both"/>
        <w:rPr>
          <w:rFonts w:ascii="Arial" w:hAnsi="Arial" w:cs="Arial"/>
          <w:sz w:val="24"/>
          <w:szCs w:val="24"/>
        </w:rPr>
      </w:pPr>
    </w:p>
    <w:p w:rsidR="0008573D" w:rsidRDefault="0008573D" w:rsidP="00E35813">
      <w:pPr>
        <w:spacing w:before="240"/>
        <w:ind w:left="3402"/>
        <w:jc w:val="both"/>
        <w:rPr>
          <w:rFonts w:ascii="Arial" w:hAnsi="Arial" w:cs="Arial"/>
          <w:sz w:val="24"/>
          <w:szCs w:val="24"/>
        </w:rPr>
      </w:pPr>
    </w:p>
    <w:p w:rsidR="00E35813" w:rsidRDefault="00E35813" w:rsidP="00E35813">
      <w:pPr>
        <w:spacing w:before="240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Augusta Casa de Leis,</w:t>
      </w:r>
    </w:p>
    <w:p w:rsidR="00E35813" w:rsidRDefault="00E35813" w:rsidP="00E35813">
      <w:pPr>
        <w:spacing w:before="240"/>
        <w:ind w:left="3402"/>
        <w:jc w:val="both"/>
        <w:rPr>
          <w:rFonts w:ascii="Arial" w:hAnsi="Arial" w:cs="Arial"/>
          <w:sz w:val="24"/>
          <w:szCs w:val="24"/>
        </w:rPr>
      </w:pPr>
    </w:p>
    <w:p w:rsidR="00E35813" w:rsidRDefault="00E35813" w:rsidP="00E35813">
      <w:pPr>
        <w:spacing w:before="240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Pares,</w:t>
      </w:r>
    </w:p>
    <w:p w:rsidR="00E35813" w:rsidRDefault="00E35813" w:rsidP="00E3581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35813" w:rsidRDefault="00E35813" w:rsidP="00E3581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35813" w:rsidRDefault="00E35813" w:rsidP="00E35813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1208BA">
        <w:rPr>
          <w:rFonts w:ascii="Arial" w:hAnsi="Arial" w:cs="Arial"/>
          <w:sz w:val="24"/>
          <w:szCs w:val="24"/>
        </w:rPr>
        <w:t>Temos a honra de submeter à elevada consideração de Vossa</w:t>
      </w:r>
      <w:r>
        <w:rPr>
          <w:rFonts w:ascii="Arial" w:hAnsi="Arial" w:cs="Arial"/>
          <w:sz w:val="24"/>
          <w:szCs w:val="24"/>
        </w:rPr>
        <w:t>s</w:t>
      </w:r>
      <w:r w:rsidRPr="001208BA">
        <w:rPr>
          <w:rFonts w:ascii="Arial" w:hAnsi="Arial" w:cs="Arial"/>
          <w:sz w:val="24"/>
          <w:szCs w:val="24"/>
        </w:rPr>
        <w:t xml:space="preserve"> Excelência</w:t>
      </w:r>
      <w:r>
        <w:rPr>
          <w:rFonts w:ascii="Arial" w:hAnsi="Arial" w:cs="Arial"/>
          <w:sz w:val="24"/>
          <w:szCs w:val="24"/>
        </w:rPr>
        <w:t>s</w:t>
      </w:r>
      <w:r w:rsidRPr="00120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presente Projeto</w:t>
      </w:r>
      <w:r w:rsidRPr="001208B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Lei, que “</w:t>
      </w:r>
      <w:r>
        <w:rPr>
          <w:rFonts w:ascii="Arial" w:hAnsi="Arial" w:cs="Arial"/>
          <w:i/>
          <w:sz w:val="24"/>
          <w:szCs w:val="24"/>
        </w:rPr>
        <w:t>d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ispõe sobre a extinção, readequação e transformação de cargos, sobre a reorganização da estrutura administrativa da Câmara Municipal de Itaquaquecetuba e dá outras providências”.</w:t>
      </w:r>
    </w:p>
    <w:p w:rsidR="00E35813" w:rsidRPr="00B1226E" w:rsidRDefault="00E35813" w:rsidP="00E35813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B1226E">
        <w:rPr>
          <w:rFonts w:ascii="Arial" w:hAnsi="Arial" w:cs="Arial"/>
          <w:sz w:val="24"/>
          <w:szCs w:val="24"/>
        </w:rPr>
        <w:t>A presente propositura tem por escopo readequar o quadro de servidores da Câmara Municipal de Itaquaquecetuba, em especial, a redução do número de cargos de provimento em comissão, bem como a redefinição dos requisitos de investidura e atribuição dos cargos, a fim de atender às recomendações do E. Tribunal de Contas do Estado de São Paulo.</w:t>
      </w:r>
    </w:p>
    <w:p w:rsidR="00E35813" w:rsidRDefault="00E35813" w:rsidP="00E35813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B1226E">
        <w:rPr>
          <w:rFonts w:ascii="Arial" w:hAnsi="Arial" w:cs="Arial"/>
          <w:sz w:val="24"/>
          <w:szCs w:val="24"/>
        </w:rPr>
        <w:t>O Projeto de Lei extingue 3</w:t>
      </w:r>
      <w:r w:rsidR="00445DA9">
        <w:rPr>
          <w:rFonts w:ascii="Arial" w:hAnsi="Arial" w:cs="Arial"/>
          <w:sz w:val="24"/>
          <w:szCs w:val="24"/>
        </w:rPr>
        <w:t>5</w:t>
      </w:r>
      <w:r w:rsidRPr="00B1226E">
        <w:rPr>
          <w:rFonts w:ascii="Arial" w:hAnsi="Arial" w:cs="Arial"/>
          <w:sz w:val="24"/>
          <w:szCs w:val="24"/>
        </w:rPr>
        <w:t xml:space="preserve"> (trinta e </w:t>
      </w:r>
      <w:r w:rsidR="00445DA9">
        <w:rPr>
          <w:rFonts w:ascii="Arial" w:hAnsi="Arial" w:cs="Arial"/>
          <w:sz w:val="24"/>
          <w:szCs w:val="24"/>
        </w:rPr>
        <w:t>cinco</w:t>
      </w:r>
      <w:r w:rsidRPr="00B1226E">
        <w:rPr>
          <w:rFonts w:ascii="Arial" w:hAnsi="Arial" w:cs="Arial"/>
          <w:sz w:val="24"/>
          <w:szCs w:val="24"/>
        </w:rPr>
        <w:t xml:space="preserve">) cargos de Assessor Parlamentar, 01 </w:t>
      </w:r>
      <w:r w:rsidR="00A618A7">
        <w:rPr>
          <w:rFonts w:ascii="Arial" w:hAnsi="Arial" w:cs="Arial"/>
          <w:sz w:val="24"/>
          <w:szCs w:val="24"/>
        </w:rPr>
        <w:t>(um) cargo de Assessor Jurídico</w:t>
      </w:r>
      <w:r w:rsidR="00445DA9">
        <w:rPr>
          <w:rFonts w:ascii="Arial" w:hAnsi="Arial" w:cs="Arial"/>
          <w:sz w:val="24"/>
          <w:szCs w:val="24"/>
        </w:rPr>
        <w:t xml:space="preserve"> e</w:t>
      </w:r>
      <w:r w:rsidRPr="00B1226E">
        <w:rPr>
          <w:rFonts w:ascii="Arial" w:hAnsi="Arial" w:cs="Arial"/>
          <w:sz w:val="24"/>
          <w:szCs w:val="24"/>
        </w:rPr>
        <w:t xml:space="preserve"> 01 (um) cargo de Diretor Jurídico</w:t>
      </w:r>
      <w:r w:rsidR="00445DA9">
        <w:rPr>
          <w:rFonts w:ascii="Arial" w:hAnsi="Arial" w:cs="Arial"/>
          <w:sz w:val="24"/>
          <w:szCs w:val="24"/>
        </w:rPr>
        <w:t>.</w:t>
      </w:r>
    </w:p>
    <w:p w:rsidR="00445DA9" w:rsidRDefault="00445DA9" w:rsidP="00E35813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Cumpre assinalar que 03 (três) cargos de Assessor Parlamentar se extinguirão na vacância, haja vista que seus ocupantes encontram-se, atualmente, no gozo de licença maternidade e auxílio doença.</w:t>
      </w:r>
    </w:p>
    <w:p w:rsidR="00840796" w:rsidRDefault="00840796" w:rsidP="00840796">
      <w:pPr>
        <w:spacing w:before="240"/>
        <w:ind w:firstLine="3402"/>
        <w:jc w:val="both"/>
        <w:rPr>
          <w:rFonts w:ascii="Arial" w:hAnsi="Arial" w:cs="Arial"/>
          <w:sz w:val="24"/>
          <w:szCs w:val="24"/>
        </w:rPr>
      </w:pPr>
    </w:p>
    <w:p w:rsidR="00A618A7" w:rsidRPr="00B1226E" w:rsidRDefault="00A618A7" w:rsidP="00840796">
      <w:pPr>
        <w:spacing w:before="240"/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</w:t>
      </w:r>
      <w:r w:rsidR="00E2127E">
        <w:rPr>
          <w:rFonts w:ascii="Arial" w:hAnsi="Arial" w:cs="Arial"/>
          <w:sz w:val="24"/>
          <w:szCs w:val="24"/>
        </w:rPr>
        <w:t>destacar que somente a extinção do cargo de Diretor Jurídico e de um cargo de Assessor Jurídico represent</w:t>
      </w:r>
      <w:r w:rsidR="0008573D">
        <w:rPr>
          <w:rFonts w:ascii="Arial" w:hAnsi="Arial" w:cs="Arial"/>
          <w:sz w:val="24"/>
          <w:szCs w:val="24"/>
        </w:rPr>
        <w:t>a</w:t>
      </w:r>
      <w:r w:rsidR="00E2127E">
        <w:rPr>
          <w:rFonts w:ascii="Arial" w:hAnsi="Arial" w:cs="Arial"/>
          <w:sz w:val="24"/>
          <w:szCs w:val="24"/>
        </w:rPr>
        <w:t xml:space="preserve"> uma eco</w:t>
      </w:r>
      <w:r w:rsidR="0008573D">
        <w:rPr>
          <w:rFonts w:ascii="Arial" w:hAnsi="Arial" w:cs="Arial"/>
          <w:sz w:val="24"/>
          <w:szCs w:val="24"/>
        </w:rPr>
        <w:t xml:space="preserve">nomia anual de aproximadamente R$ 327.376,65 (trezentos e vinte e sete mil trezentos e setenta e seis reais e sessenta e cinco centavos) </w:t>
      </w:r>
      <w:r w:rsidR="00E2127E">
        <w:rPr>
          <w:rFonts w:ascii="Arial" w:hAnsi="Arial" w:cs="Arial"/>
          <w:sz w:val="24"/>
          <w:szCs w:val="24"/>
        </w:rPr>
        <w:t>ao erário.</w:t>
      </w:r>
    </w:p>
    <w:p w:rsidR="00E2127E" w:rsidRDefault="00E35813" w:rsidP="00840796">
      <w:pPr>
        <w:spacing w:before="240"/>
        <w:ind w:firstLine="3402"/>
        <w:jc w:val="both"/>
        <w:rPr>
          <w:rFonts w:ascii="Arial" w:hAnsi="Arial" w:cs="Arial"/>
          <w:sz w:val="24"/>
          <w:szCs w:val="24"/>
        </w:rPr>
      </w:pPr>
      <w:r w:rsidRPr="00B1226E">
        <w:rPr>
          <w:rFonts w:ascii="Arial" w:hAnsi="Arial" w:cs="Arial"/>
          <w:sz w:val="24"/>
          <w:szCs w:val="24"/>
        </w:rPr>
        <w:t xml:space="preserve">Além disso, passa-se a exigir como requisitos de investidura aos cargos de direção e assessoramento, a graduação em curso superior e foram redefinidas as atribuições nos termos do artigo 37, inciso II, </w:t>
      </w:r>
      <w:r w:rsidR="00237B2D">
        <w:rPr>
          <w:rFonts w:ascii="Arial" w:hAnsi="Arial" w:cs="Arial"/>
          <w:sz w:val="24"/>
          <w:szCs w:val="24"/>
        </w:rPr>
        <w:t xml:space="preserve">parte final, </w:t>
      </w:r>
      <w:r w:rsidRPr="00B1226E">
        <w:rPr>
          <w:rFonts w:ascii="Arial" w:hAnsi="Arial" w:cs="Arial"/>
          <w:sz w:val="24"/>
          <w:szCs w:val="24"/>
        </w:rPr>
        <w:t xml:space="preserve">da Constituição Federal. </w:t>
      </w:r>
    </w:p>
    <w:p w:rsidR="00237B2D" w:rsidRDefault="00E35813" w:rsidP="00840796">
      <w:pPr>
        <w:spacing w:before="240"/>
        <w:ind w:firstLine="3402"/>
        <w:jc w:val="both"/>
        <w:rPr>
          <w:rFonts w:ascii="Arial" w:hAnsi="Arial" w:cs="Arial"/>
          <w:sz w:val="24"/>
          <w:szCs w:val="24"/>
        </w:rPr>
      </w:pPr>
      <w:r w:rsidRPr="00B1226E">
        <w:rPr>
          <w:rFonts w:ascii="Arial" w:hAnsi="Arial" w:cs="Arial"/>
          <w:sz w:val="24"/>
          <w:szCs w:val="24"/>
        </w:rPr>
        <w:t xml:space="preserve">Foram transformados os cargos de Assessor de Imprensa, provimento em comissão, no cargo de Jornalista, provimento efetivo e o cargo de Técnico em Contabilidade, provimento efetivo, no cargo de Contador, provimento efetivo, sendo exigido nível universitário para investidura e registro no </w:t>
      </w:r>
      <w:r w:rsidR="00237B2D" w:rsidRPr="00237B2D">
        <w:rPr>
          <w:rFonts w:ascii="Arial" w:hAnsi="Arial" w:cs="Arial"/>
          <w:sz w:val="24"/>
          <w:szCs w:val="24"/>
        </w:rPr>
        <w:t>Conselho Regional de Contabilidade</w:t>
      </w:r>
      <w:r w:rsidR="00237B2D">
        <w:rPr>
          <w:rFonts w:ascii="Arial" w:hAnsi="Arial" w:cs="Arial"/>
          <w:sz w:val="24"/>
          <w:szCs w:val="24"/>
        </w:rPr>
        <w:t xml:space="preserve"> – C.R.C. </w:t>
      </w:r>
    </w:p>
    <w:p w:rsidR="00E35813" w:rsidRPr="00B1226E" w:rsidRDefault="00E35813" w:rsidP="00840796">
      <w:pPr>
        <w:spacing w:before="240"/>
        <w:ind w:firstLine="3402"/>
        <w:jc w:val="both"/>
        <w:rPr>
          <w:rFonts w:ascii="Arial" w:hAnsi="Arial" w:cs="Arial"/>
          <w:sz w:val="24"/>
          <w:szCs w:val="24"/>
        </w:rPr>
      </w:pPr>
      <w:r w:rsidRPr="00B1226E">
        <w:rPr>
          <w:rFonts w:ascii="Arial" w:hAnsi="Arial" w:cs="Arial"/>
          <w:sz w:val="24"/>
          <w:szCs w:val="24"/>
        </w:rPr>
        <w:t xml:space="preserve">Atualmente, o quadro de servidores da Câmara Municipal de Itaquaquecetuba conta com 112 (cento e doze) cargos de provimento em comissão. Com as alterações, passa contar com </w:t>
      </w:r>
      <w:r w:rsidR="00445DA9">
        <w:rPr>
          <w:rFonts w:ascii="Arial" w:hAnsi="Arial" w:cs="Arial"/>
          <w:sz w:val="24"/>
          <w:szCs w:val="24"/>
        </w:rPr>
        <w:t xml:space="preserve">70 </w:t>
      </w:r>
      <w:r w:rsidR="00FB65C0">
        <w:rPr>
          <w:rFonts w:ascii="Arial" w:hAnsi="Arial" w:cs="Arial"/>
          <w:sz w:val="24"/>
          <w:szCs w:val="24"/>
        </w:rPr>
        <w:t>(</w:t>
      </w:r>
      <w:r w:rsidR="00445DA9">
        <w:rPr>
          <w:rFonts w:ascii="Arial" w:hAnsi="Arial" w:cs="Arial"/>
          <w:sz w:val="24"/>
          <w:szCs w:val="24"/>
        </w:rPr>
        <w:t>setenta</w:t>
      </w:r>
      <w:r>
        <w:rPr>
          <w:rFonts w:ascii="Arial" w:hAnsi="Arial" w:cs="Arial"/>
          <w:sz w:val="24"/>
          <w:szCs w:val="24"/>
        </w:rPr>
        <w:t>)</w:t>
      </w:r>
      <w:r w:rsidRPr="00B1226E">
        <w:rPr>
          <w:rFonts w:ascii="Arial" w:hAnsi="Arial" w:cs="Arial"/>
          <w:sz w:val="24"/>
          <w:szCs w:val="24"/>
        </w:rPr>
        <w:t xml:space="preserve"> cargos em comissão, sendo que dentre estes 05 (cinco) cargos de Chefe de Seção, são providos exclusivamente por servidores ocupantes de cargo efetivo.</w:t>
      </w:r>
    </w:p>
    <w:p w:rsidR="00E35813" w:rsidRPr="00B1226E" w:rsidRDefault="00E35813" w:rsidP="00840796">
      <w:pPr>
        <w:spacing w:before="240"/>
        <w:ind w:firstLine="3402"/>
        <w:jc w:val="both"/>
        <w:rPr>
          <w:rFonts w:ascii="Arial" w:hAnsi="Arial" w:cs="Arial"/>
          <w:bCs/>
          <w:sz w:val="24"/>
          <w:szCs w:val="24"/>
        </w:rPr>
      </w:pPr>
      <w:r w:rsidRPr="00B1226E">
        <w:rPr>
          <w:rFonts w:ascii="Arial" w:hAnsi="Arial" w:cs="Arial"/>
          <w:sz w:val="24"/>
          <w:szCs w:val="24"/>
        </w:rPr>
        <w:t>O Município de Itaquaquecetuba, segundo Censo 2010</w:t>
      </w:r>
      <w:r w:rsidRPr="00B1226E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B1226E">
        <w:rPr>
          <w:rFonts w:ascii="Arial" w:hAnsi="Arial" w:cs="Arial"/>
          <w:sz w:val="24"/>
          <w:szCs w:val="24"/>
        </w:rPr>
        <w:t xml:space="preserve"> realizado pelo IBGE, possui </w:t>
      </w:r>
      <w:r w:rsidRPr="00B1226E">
        <w:rPr>
          <w:rFonts w:ascii="Arial" w:hAnsi="Arial" w:cs="Arial"/>
          <w:bCs/>
          <w:sz w:val="24"/>
          <w:szCs w:val="24"/>
        </w:rPr>
        <w:t xml:space="preserve">321.77 habitantes, </w:t>
      </w:r>
      <w:r w:rsidR="00FB65C0">
        <w:rPr>
          <w:rFonts w:ascii="Arial" w:hAnsi="Arial" w:cs="Arial"/>
          <w:bCs/>
          <w:sz w:val="24"/>
          <w:szCs w:val="24"/>
        </w:rPr>
        <w:t xml:space="preserve">sendo estimado pelo mesmo Instituto em julho de 2016 </w:t>
      </w:r>
      <w:r w:rsidR="00FB65C0" w:rsidRPr="00FB65C0">
        <w:rPr>
          <w:rFonts w:ascii="Arial" w:hAnsi="Arial" w:cs="Arial"/>
          <w:bCs/>
          <w:sz w:val="24"/>
          <w:szCs w:val="24"/>
        </w:rPr>
        <w:t xml:space="preserve">356.774 </w:t>
      </w:r>
      <w:r w:rsidR="00FB65C0">
        <w:rPr>
          <w:rFonts w:ascii="Arial" w:hAnsi="Arial" w:cs="Arial"/>
          <w:bCs/>
          <w:sz w:val="24"/>
          <w:szCs w:val="24"/>
        </w:rPr>
        <w:t xml:space="preserve">habitantes, </w:t>
      </w:r>
      <w:r w:rsidRPr="00B1226E">
        <w:rPr>
          <w:rFonts w:ascii="Arial" w:hAnsi="Arial" w:cs="Arial"/>
          <w:bCs/>
          <w:sz w:val="24"/>
          <w:szCs w:val="24"/>
        </w:rPr>
        <w:t>o que representa o 20º (vigésimo) lugar do Estado de São Paulo, ficando na posição 73 dentre os 5570 Municípios brasileiros. Já com relação à densidade demográfica, a Municipalidade ocupa a 11ª (décima primeira) posição do Estado e com relação a outros municípios no Brasil, fica na posição 23, apresentando, por isso, uma enorme demanda de atendimento da população.</w:t>
      </w:r>
    </w:p>
    <w:p w:rsidR="00E35813" w:rsidRDefault="00E35813" w:rsidP="00840796">
      <w:pPr>
        <w:spacing w:before="240"/>
        <w:ind w:firstLine="3402"/>
        <w:jc w:val="both"/>
        <w:rPr>
          <w:rFonts w:ascii="Arial" w:hAnsi="Arial" w:cs="Arial"/>
          <w:bCs/>
          <w:sz w:val="24"/>
          <w:szCs w:val="24"/>
        </w:rPr>
      </w:pPr>
      <w:r w:rsidRPr="00B1226E">
        <w:rPr>
          <w:rFonts w:ascii="Arial" w:hAnsi="Arial" w:cs="Arial"/>
          <w:bCs/>
          <w:sz w:val="24"/>
          <w:szCs w:val="24"/>
        </w:rPr>
        <w:t>Assim, entendeu-se necessári</w:t>
      </w:r>
      <w:r w:rsidR="0008573D">
        <w:rPr>
          <w:rFonts w:ascii="Arial" w:hAnsi="Arial" w:cs="Arial"/>
          <w:bCs/>
          <w:sz w:val="24"/>
          <w:szCs w:val="24"/>
        </w:rPr>
        <w:t>a</w:t>
      </w:r>
      <w:r w:rsidRPr="00B1226E">
        <w:rPr>
          <w:rFonts w:ascii="Arial" w:hAnsi="Arial" w:cs="Arial"/>
          <w:bCs/>
          <w:sz w:val="24"/>
          <w:szCs w:val="24"/>
        </w:rPr>
        <w:t xml:space="preserve"> à prestação</w:t>
      </w:r>
      <w:r w:rsidR="0008573D">
        <w:rPr>
          <w:rFonts w:ascii="Arial" w:hAnsi="Arial" w:cs="Arial"/>
          <w:bCs/>
          <w:sz w:val="24"/>
          <w:szCs w:val="24"/>
        </w:rPr>
        <w:t xml:space="preserve"> </w:t>
      </w:r>
      <w:r w:rsidRPr="00B1226E">
        <w:rPr>
          <w:rFonts w:ascii="Arial" w:hAnsi="Arial" w:cs="Arial"/>
          <w:bCs/>
          <w:sz w:val="24"/>
          <w:szCs w:val="24"/>
        </w:rPr>
        <w:t>d</w:t>
      </w:r>
      <w:r w:rsidR="0008573D">
        <w:rPr>
          <w:rFonts w:ascii="Arial" w:hAnsi="Arial" w:cs="Arial"/>
          <w:bCs/>
          <w:sz w:val="24"/>
          <w:szCs w:val="24"/>
        </w:rPr>
        <w:t>e</w:t>
      </w:r>
      <w:r w:rsidRPr="00B1226E">
        <w:rPr>
          <w:rFonts w:ascii="Arial" w:hAnsi="Arial" w:cs="Arial"/>
          <w:bCs/>
          <w:sz w:val="24"/>
          <w:szCs w:val="24"/>
        </w:rPr>
        <w:t xml:space="preserve"> serviços parlamentares 02 (dois) cargos de Assessor Parlam</w:t>
      </w:r>
      <w:r w:rsidR="00FB65C0">
        <w:rPr>
          <w:rFonts w:ascii="Arial" w:hAnsi="Arial" w:cs="Arial"/>
          <w:bCs/>
          <w:sz w:val="24"/>
          <w:szCs w:val="24"/>
        </w:rPr>
        <w:t xml:space="preserve">entar </w:t>
      </w:r>
      <w:r w:rsidR="00445DA9">
        <w:rPr>
          <w:rFonts w:ascii="Arial" w:hAnsi="Arial" w:cs="Arial"/>
          <w:bCs/>
          <w:sz w:val="24"/>
          <w:szCs w:val="24"/>
        </w:rPr>
        <w:t xml:space="preserve">e 01 (um) cargo de Coordenador de Assessoria Parlamentar </w:t>
      </w:r>
      <w:r w:rsidR="00840796">
        <w:rPr>
          <w:rFonts w:ascii="Arial" w:hAnsi="Arial" w:cs="Arial"/>
          <w:bCs/>
          <w:sz w:val="24"/>
          <w:szCs w:val="24"/>
        </w:rPr>
        <w:t>por Gabinete de Vereador.</w:t>
      </w:r>
    </w:p>
    <w:p w:rsidR="00840796" w:rsidRDefault="00840796" w:rsidP="00E35813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</w:p>
    <w:p w:rsidR="00840796" w:rsidRDefault="00840796" w:rsidP="00E35813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</w:p>
    <w:p w:rsidR="00840796" w:rsidRDefault="00840796" w:rsidP="00E35813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</w:p>
    <w:p w:rsidR="00E35813" w:rsidRPr="00B1226E" w:rsidRDefault="00E35813" w:rsidP="00E35813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B1226E">
        <w:rPr>
          <w:rFonts w:ascii="Arial" w:hAnsi="Arial" w:cs="Arial"/>
          <w:bCs/>
          <w:sz w:val="24"/>
          <w:szCs w:val="24"/>
        </w:rPr>
        <w:t>Também tendo em vista o aumento e a profissionalização do serviço público, a Seção de Compras, Almoxarifado e Patrimônio foi reorganizada</w:t>
      </w:r>
      <w:r w:rsidR="005B321B">
        <w:rPr>
          <w:rFonts w:ascii="Arial" w:hAnsi="Arial" w:cs="Arial"/>
          <w:bCs/>
          <w:sz w:val="24"/>
          <w:szCs w:val="24"/>
        </w:rPr>
        <w:t>,</w:t>
      </w:r>
      <w:r w:rsidRPr="00B1226E">
        <w:rPr>
          <w:rFonts w:ascii="Arial" w:hAnsi="Arial" w:cs="Arial"/>
          <w:bCs/>
          <w:sz w:val="24"/>
          <w:szCs w:val="24"/>
        </w:rPr>
        <w:t xml:space="preserve"> criando o Departamento de Compras e Licitação, com escri</w:t>
      </w:r>
      <w:r>
        <w:rPr>
          <w:rFonts w:ascii="Arial" w:hAnsi="Arial" w:cs="Arial"/>
          <w:bCs/>
          <w:sz w:val="24"/>
          <w:szCs w:val="24"/>
        </w:rPr>
        <w:t>turação e expedientes próprios, com o desiderato de aprimorar a observância dos procedimentos e ditames estabelecidos na Lei nº 8.666/1993 e na Lei nº 10.520/2002, além de emitir relatórios e atender às Instruções expedidas pelo E. Tribunal de Contas do Estado de São Paulo.</w:t>
      </w:r>
    </w:p>
    <w:p w:rsidR="0008573D" w:rsidRDefault="0008573D" w:rsidP="00E35813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35813" w:rsidRDefault="00E35813" w:rsidP="00E35813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as razões pelas quais rogo a Vossas Excelências, a apreciação e a aprovação deste Projeto de Lei.</w:t>
      </w:r>
    </w:p>
    <w:p w:rsidR="00E35813" w:rsidRDefault="00E35813" w:rsidP="00E35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13" w:rsidRDefault="00E35813" w:rsidP="00E35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73D" w:rsidRDefault="0008573D" w:rsidP="00E35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73D" w:rsidRDefault="0008573D" w:rsidP="00E35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73D" w:rsidRDefault="0008573D" w:rsidP="00E35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13" w:rsidRDefault="00E35813" w:rsidP="00E35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13" w:rsidRPr="00C87A70" w:rsidRDefault="00E35813" w:rsidP="00E358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A70">
        <w:rPr>
          <w:rFonts w:ascii="Arial" w:hAnsi="Arial" w:cs="Arial"/>
          <w:b/>
          <w:sz w:val="24"/>
          <w:szCs w:val="24"/>
        </w:rPr>
        <w:t>VER. ROBERTO CARLOS DO NASCIMENTO TITO</w:t>
      </w:r>
    </w:p>
    <w:p w:rsidR="00E35813" w:rsidRDefault="00E35813" w:rsidP="00E35813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PRESIDENTE</w:t>
      </w:r>
    </w:p>
    <w:p w:rsidR="00D07AAC" w:rsidRDefault="00D07AAC"/>
    <w:p w:rsidR="00FB65C0" w:rsidRDefault="00FB65C0"/>
    <w:p w:rsidR="00FB65C0" w:rsidRDefault="00FB65C0"/>
    <w:p w:rsidR="00FB65C0" w:rsidRDefault="00FB65C0"/>
    <w:p w:rsidR="00FB65C0" w:rsidRPr="00C87A70" w:rsidRDefault="00FB65C0" w:rsidP="00FB65C0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C87A70">
        <w:rPr>
          <w:rFonts w:ascii="Arial" w:hAnsi="Arial" w:cs="Arial"/>
          <w:b/>
          <w:sz w:val="24"/>
          <w:szCs w:val="24"/>
        </w:rPr>
        <w:t>VERª.  APARECIDA B. S. NEVES</w:t>
      </w:r>
      <w:r w:rsidRPr="00C87A70">
        <w:rPr>
          <w:rFonts w:ascii="Arial" w:hAnsi="Arial" w:cs="Arial"/>
          <w:b/>
          <w:sz w:val="24"/>
          <w:szCs w:val="24"/>
        </w:rPr>
        <w:tab/>
        <w:t xml:space="preserve">   VER.ª MARIA AP.M..R. DA FONSECA </w:t>
      </w:r>
    </w:p>
    <w:p w:rsidR="00FB65C0" w:rsidRDefault="00FB65C0" w:rsidP="00FB65C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SECRETÁRIA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2ª SECRETÁRIA</w:t>
      </w:r>
    </w:p>
    <w:p w:rsidR="00FB65C0" w:rsidRDefault="00FB65C0"/>
    <w:sectPr w:rsidR="00FB65C0" w:rsidSect="005D07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5D" w:rsidRDefault="0046635D" w:rsidP="00E35813">
      <w:pPr>
        <w:spacing w:after="0" w:line="240" w:lineRule="auto"/>
      </w:pPr>
      <w:r>
        <w:separator/>
      </w:r>
    </w:p>
  </w:endnote>
  <w:endnote w:type="continuationSeparator" w:id="1">
    <w:p w:rsidR="0046635D" w:rsidRDefault="0046635D" w:rsidP="00E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5D" w:rsidRDefault="0046635D" w:rsidP="00E35813">
      <w:pPr>
        <w:spacing w:after="0" w:line="240" w:lineRule="auto"/>
      </w:pPr>
      <w:r>
        <w:separator/>
      </w:r>
    </w:p>
  </w:footnote>
  <w:footnote w:type="continuationSeparator" w:id="1">
    <w:p w:rsidR="0046635D" w:rsidRDefault="0046635D" w:rsidP="00E35813">
      <w:pPr>
        <w:spacing w:after="0" w:line="240" w:lineRule="auto"/>
      </w:pPr>
      <w:r>
        <w:continuationSeparator/>
      </w:r>
    </w:p>
  </w:footnote>
  <w:footnote w:id="2">
    <w:p w:rsidR="00E35813" w:rsidRDefault="00E35813" w:rsidP="00E35813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AD5F0F">
          <w:rPr>
            <w:rStyle w:val="Hyperlink"/>
          </w:rPr>
          <w:t>https://cidades.ibge.gov.br/v4/brasil/sp/itaquaquecetuba/panorama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1B" w:rsidRDefault="00325DBC" w:rsidP="005D071B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18BE">
      <w:t xml:space="preserve"> </w:t>
    </w:r>
    <w:r w:rsidR="009066B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left:0;text-align:left;margin-left:163.15pt;margin-top:62.85pt;width:432.7pt;height:46.6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" o:allowincell="f" filled="f" stroked="f">
          <v:textbox style="mso-next-textbox:#Caixa de texto 2" inset=",0,,0">
            <w:txbxContent>
              <w:p w:rsidR="005D071B" w:rsidRDefault="008D18BE" w:rsidP="005D071B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5D071B" w:rsidRDefault="008D18BE" w:rsidP="005D071B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hyperlink r:id="rId2" w:history="1">
      <w:r w:rsidR="009066BA" w:rsidRPr="009066BA">
        <w:rPr>
          <w:noProof/>
          <w:color w:val="0000FF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Descrição: http://www.itaquaquecetuba.sp.gov.br/images/vejamais_secretaria/BrasaoVigilanciaPatrimonial.GIF" style="width:102.05pt;height:89.55pt;visibility:visible" o:button="t">
            <v:fill o:detectmouseclick="t"/>
            <v:imagedata r:id="rId3" o:title="BrasaoVigilanciaPatrimonial"/>
          </v:shape>
        </w:pict>
      </w:r>
    </w:hyperlink>
  </w:p>
  <w:p w:rsidR="005D071B" w:rsidRDefault="004663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35813"/>
    <w:rsid w:val="0008573D"/>
    <w:rsid w:val="00140653"/>
    <w:rsid w:val="00151079"/>
    <w:rsid w:val="0017258E"/>
    <w:rsid w:val="00237B2D"/>
    <w:rsid w:val="00325DBC"/>
    <w:rsid w:val="003B7570"/>
    <w:rsid w:val="00445DA9"/>
    <w:rsid w:val="0046635D"/>
    <w:rsid w:val="005B321B"/>
    <w:rsid w:val="006208E5"/>
    <w:rsid w:val="007A2604"/>
    <w:rsid w:val="007E3AA7"/>
    <w:rsid w:val="00840796"/>
    <w:rsid w:val="008D18BE"/>
    <w:rsid w:val="009066BA"/>
    <w:rsid w:val="00A618A7"/>
    <w:rsid w:val="00B60724"/>
    <w:rsid w:val="00BA64A1"/>
    <w:rsid w:val="00C13BD8"/>
    <w:rsid w:val="00CD1599"/>
    <w:rsid w:val="00D07AAC"/>
    <w:rsid w:val="00D20E35"/>
    <w:rsid w:val="00D406D0"/>
    <w:rsid w:val="00E2127E"/>
    <w:rsid w:val="00E35813"/>
    <w:rsid w:val="00F22202"/>
    <w:rsid w:val="00FB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813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58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581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581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581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2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5D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dades.ibge.gov.br/v4/brasil/sp/itaquaquecetuba/panora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JURIDICO-CMI</dc:creator>
  <cp:lastModifiedBy>Usuário do Windows</cp:lastModifiedBy>
  <cp:revision>5</cp:revision>
  <cp:lastPrinted>2017-10-05T19:03:00Z</cp:lastPrinted>
  <dcterms:created xsi:type="dcterms:W3CDTF">2017-08-28T20:04:00Z</dcterms:created>
  <dcterms:modified xsi:type="dcterms:W3CDTF">2017-10-05T19:12:00Z</dcterms:modified>
</cp:coreProperties>
</file>