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E" w:rsidRDefault="0050761E">
      <w:pPr>
        <w:jc w:val="center"/>
        <w:rPr>
          <w:rFonts w:ascii="Arial" w:hAnsi="Arial" w:cs="Arial"/>
          <w:b/>
          <w:sz w:val="24"/>
          <w:szCs w:val="24"/>
        </w:rPr>
      </w:pPr>
    </w:p>
    <w:p w:rsidR="0050761E" w:rsidRDefault="0050761E">
      <w:pPr>
        <w:jc w:val="center"/>
        <w:rPr>
          <w:rFonts w:ascii="Arial" w:hAnsi="Arial" w:cs="Arial"/>
          <w:b/>
          <w:sz w:val="24"/>
          <w:szCs w:val="24"/>
        </w:rPr>
      </w:pPr>
    </w:p>
    <w:p w:rsidR="0050761E" w:rsidRDefault="0050761E">
      <w:pPr>
        <w:jc w:val="center"/>
        <w:rPr>
          <w:rFonts w:ascii="Arial" w:hAnsi="Arial" w:cs="Arial"/>
          <w:b/>
          <w:sz w:val="24"/>
          <w:szCs w:val="24"/>
        </w:rPr>
      </w:pPr>
    </w:p>
    <w:p w:rsidR="0050761E" w:rsidRDefault="0050761E">
      <w:pPr>
        <w:jc w:val="center"/>
        <w:rPr>
          <w:rFonts w:ascii="Arial" w:hAnsi="Arial" w:cs="Arial"/>
          <w:b/>
          <w:sz w:val="24"/>
          <w:szCs w:val="24"/>
        </w:rPr>
      </w:pPr>
    </w:p>
    <w:p w:rsidR="00116DF8" w:rsidRDefault="005866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__</w:t>
      </w:r>
      <w:r w:rsidR="0021787B">
        <w:rPr>
          <w:rFonts w:ascii="Arial" w:hAnsi="Arial" w:cs="Arial"/>
          <w:b/>
          <w:sz w:val="24"/>
          <w:szCs w:val="24"/>
        </w:rPr>
        <w:t>128</w:t>
      </w:r>
      <w:r>
        <w:rPr>
          <w:rFonts w:ascii="Arial" w:hAnsi="Arial" w:cs="Arial"/>
          <w:b/>
          <w:sz w:val="24"/>
          <w:szCs w:val="24"/>
        </w:rPr>
        <w:t>__/2019.</w:t>
      </w:r>
    </w:p>
    <w:p w:rsidR="00116DF8" w:rsidRDefault="00116DF8">
      <w:pPr>
        <w:rPr>
          <w:rFonts w:ascii="Arial" w:hAnsi="Arial" w:cs="Arial"/>
          <w:b/>
          <w:sz w:val="24"/>
          <w:szCs w:val="24"/>
        </w:rPr>
      </w:pPr>
    </w:p>
    <w:p w:rsidR="00116DF8" w:rsidRDefault="005866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6DF8" w:rsidRDefault="00116DF8">
      <w:pPr>
        <w:rPr>
          <w:rFonts w:ascii="Arial" w:hAnsi="Arial" w:cs="Arial"/>
          <w:b/>
          <w:sz w:val="24"/>
          <w:szCs w:val="24"/>
        </w:rPr>
      </w:pPr>
    </w:p>
    <w:p w:rsidR="00116DF8" w:rsidRDefault="00586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: Processo licitatório tipo “Pregão Presencial” nº 40/17 e contratos homologados com a empresa ELECTRA PAVIMENTACAO E CONSTRUCAO CIVIL LTDA.</w:t>
      </w:r>
    </w:p>
    <w:p w:rsidR="00116DF8" w:rsidRDefault="00116DF8">
      <w:pPr>
        <w:jc w:val="both"/>
        <w:rPr>
          <w:rFonts w:ascii="Arial" w:hAnsi="Arial" w:cs="Arial"/>
          <w:sz w:val="24"/>
          <w:szCs w:val="24"/>
        </w:rPr>
      </w:pPr>
    </w:p>
    <w:p w:rsidR="00116DF8" w:rsidRDefault="00586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, que a Prefeitura Municipal inicialmente firmou contrato no dia 19 de Junho de 2017 de Locação de equipamentos de terraplenagem para conservação, recapeamento, tapa buracos, nivelamento de ruas, avenidas e estradas do Município, bem como limpeza em vielas, calçadas e áreas públicas e desassoreamento de córregos com a empresa OXIGÊNIO DO BRASIL CONSTRUÇÃO CIVIL LTDA – EPP., oriundo do processo licitatório tipo “Pregão Presencial” nº 40/17, Processo Administrativo nº 4.221/17, Contrato nº 68/17. </w:t>
      </w:r>
    </w:p>
    <w:p w:rsidR="00116DF8" w:rsidRDefault="00116DF8">
      <w:pPr>
        <w:jc w:val="both"/>
        <w:rPr>
          <w:rFonts w:ascii="Arial" w:hAnsi="Arial" w:cs="Arial"/>
          <w:sz w:val="24"/>
          <w:szCs w:val="24"/>
        </w:rPr>
      </w:pPr>
    </w:p>
    <w:p w:rsidR="00116DF8" w:rsidRDefault="0058665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que consultando os registros da empresa OXIGÊNIO DO BRASIL CONSTRUÇÃO CIVIL LTDA – EPP, na JUNTA COMERCIAL DE SÃO PAULO, consta alterações nos Sócios que coincidem com os sócios da empresa ELECTRA PAVIMENTACAO E CONSTRUCAO CIVIL LTDA.</w:t>
      </w:r>
    </w:p>
    <w:p w:rsidR="00116DF8" w:rsidRDefault="00116DF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116DF8" w:rsidRDefault="0058665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que a empresa ELECTRA PAVIMENTA</w:t>
      </w:r>
      <w:r w:rsidR="00C95437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E CONSTRU</w:t>
      </w:r>
      <w:r w:rsidR="00C95437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CIVIL LTDA já homologou contratos anteriormente com a Prefeitura Municipal. E, consultando o Portal de transparência, não possui acesso aos processos licitatórios da mesma.</w:t>
      </w:r>
    </w:p>
    <w:p w:rsidR="00116DF8" w:rsidRDefault="00586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6DF8" w:rsidRDefault="00586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importante papel do Legislativo em fiscalizar a atuação do Poder Executivo, com base nos Artigos 9º, XI e art. 81 da Lei Orgânica Municipal, Artigo 1º da Lei Federal 9051/95.</w:t>
      </w:r>
    </w:p>
    <w:p w:rsidR="00116DF8" w:rsidRDefault="00586658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9º - Compete privativamente à Câmara Municipal;</w:t>
      </w:r>
      <w:r>
        <w:rPr>
          <w:rFonts w:ascii="Arial" w:hAnsi="Arial" w:cs="Arial"/>
          <w:sz w:val="20"/>
          <w:szCs w:val="20"/>
        </w:rPr>
        <w:br/>
        <w:t>XI - requisitar informações do prefeito sobre todos os assuntos que se incluam na competência do município”.</w:t>
      </w:r>
    </w:p>
    <w:p w:rsidR="00116DF8" w:rsidRDefault="00116DF8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16DF8" w:rsidRDefault="00586658">
      <w:pPr>
        <w:ind w:left="2835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“Art. 1º - As certidões para a defesa de direitos e esclarecimentos de situações, requeridas aos órgãos da administração centralizada ou autárquica, às empresas públicas, às sociedades de economia mista e às fundações públicas da União, dos Estados, do Distrito Federal e dos Municípios, deverão ser expedidas no prazo improrrogável de quinze dias, contado do registro do pedido no órgão expedidor.”</w:t>
      </w:r>
    </w:p>
    <w:p w:rsidR="00116DF8" w:rsidRDefault="00586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6DF8" w:rsidRDefault="00586658">
      <w:pPr>
        <w:jc w:val="both"/>
      </w:pPr>
      <w:r>
        <w:rPr>
          <w:rFonts w:ascii="Arial" w:hAnsi="Arial" w:cs="Arial"/>
          <w:b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que a negativa das informações devidas constitui ato de </w:t>
      </w:r>
      <w:r>
        <w:rPr>
          <w:rFonts w:ascii="Arial" w:hAnsi="Arial" w:cs="Arial"/>
          <w:i/>
          <w:sz w:val="24"/>
          <w:szCs w:val="24"/>
        </w:rPr>
        <w:t>improbidade administrativa</w:t>
      </w:r>
      <w:r>
        <w:rPr>
          <w:rFonts w:ascii="Arial" w:hAnsi="Arial" w:cs="Arial"/>
          <w:sz w:val="24"/>
          <w:szCs w:val="24"/>
        </w:rPr>
        <w:t>, sob a égide da Lei n.° 8.429/92, Lei n.º 12.527/11, Lei Orgânica do Município de Itaquaquecetuba/SP e Lei Municipal n.° 3.059/2013: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:u w:val="single"/>
        </w:rPr>
        <w:t>Lei Orgânica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: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Art. 81 – Qualquer cidadão terá o direito de consultar leis e atos </w:t>
      </w:r>
      <w:r>
        <w:rPr>
          <w:rFonts w:ascii="Times New Roman" w:hAnsi="Times New Roman"/>
          <w:color w:val="000000" w:themeColor="text1"/>
          <w:sz w:val="24"/>
          <w:szCs w:val="24"/>
        </w:rPr>
        <w:t>administrativos do Município ou qualquer documento público independente de requerimento.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Art. 82 – O Executivo e o Legislativo são obrigados a expedir certidões de seus atos no prazo de 10 (dez) dias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sob pena de responsabilidade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:u w:val="single"/>
        </w:rPr>
        <w:t>Lei Municipal n.° 3.059/2013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: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>SE</w:t>
      </w:r>
      <w:r>
        <w:rPr>
          <w:rFonts w:ascii="Times New Roman" w:hAnsi="Times New Roman"/>
          <w:color w:val="000000" w:themeColor="text1"/>
          <w:sz w:val="24"/>
          <w:szCs w:val="24"/>
        </w:rPr>
        <w:t>ÇÃO III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DAS TRANSPARÊNCIAS ATIVA E PASSIVA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Art. 9. É dever dos órgãos e entidades subordinados a esta Lei promover a divulgação, em seu sitio, das seguintes informações: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(...)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– licitações realizadas desde o advento desta Lei, em andamento, com os respectivos editais e anexos, atos de adjudicação, recursos, além dos contratos firmados e notas de empenho;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(...)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Art. 13. O prazo de resposta ao pedido de informação que não possa ser imediatamente fornecida será de vinte dias, prorrogável por dez dias, mediante justificativa da qual será dada ciência ao requerente.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(...)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Capítulo VII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DAS RESPONSABILIDADES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Art. 28. O agente público será responsabilizado se: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I – recursar-se a fornecer informação requerida nos termos desta Lei, retardar deliberadamente o seu fornecimento ou fornecê-la intencionalmente de forma incorreta, incompleta ou imprecisa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 – utilizar indevidamente, subtrair, destruir, inutilizar, desfigurar, alterar ou ocultar, total ou parcialmente, informação sob sua guarda ou a que tenha acesso pela natureza de seu cargo, emprego ou função;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III – agir com dolo ou má-fé na análise dos pedidos de acesso à informação;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IV – divulgar ou permitir a divulgação, acessar ou permitir o acesso indevido a informações sigilosas ou pessoais;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– impor sigilo à informação para obter proveito pessoal ou de terceiro, ou para fins de ocultação de ato ilegal;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 – ocultar da revisão da autoridade superior competente informação sigilosa, para beneficio próprio ou de outrem, ou em prejuízo de terceiros; e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VII – destruir ou subtrair, por qualquer meio, documentos concernentes a possíveis violações de direitos humanos.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§ 1º Atendido o principio do devido processo legal, as condutas descritas nos incisos deste artigo ficarão sujeitos às seguintes penalidades: 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– suspensão por ate sessenta dias, nos casos dos incisos I, IV, e VI; e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 – demissão, nos casos dos incisos II, III, V e VII.</w:t>
      </w:r>
    </w:p>
    <w:p w:rsidR="00116DF8" w:rsidRDefault="00586658">
      <w:pPr>
        <w:spacing w:line="240" w:lineRule="auto"/>
        <w:ind w:left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2º A penalização referida no § 1º deste artigo não exclui a aplicação da Lei de Improbidade Administrativa (Lei Federal nº 8.429, de 2/6/1992), quando cabível.</w:t>
      </w:r>
    </w:p>
    <w:p w:rsidR="00116DF8" w:rsidRDefault="00116DF8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F06687" w:rsidRDefault="00F06687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F06687" w:rsidRDefault="00F06687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F06687" w:rsidRDefault="00F06687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116DF8" w:rsidRDefault="00586658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Reque</w:t>
      </w:r>
      <w:r w:rsidR="00173A9A">
        <w:rPr>
          <w:rFonts w:ascii="Arial" w:hAnsi="Arial" w:cs="Arial"/>
          <w:b/>
          <w:sz w:val="24"/>
          <w:szCs w:val="24"/>
        </w:rPr>
        <w:t xml:space="preserve">iro </w:t>
      </w:r>
      <w:r>
        <w:rPr>
          <w:rFonts w:ascii="Arial" w:hAnsi="Arial" w:cs="Arial"/>
          <w:b/>
          <w:sz w:val="24"/>
          <w:szCs w:val="24"/>
        </w:rPr>
        <w:t xml:space="preserve">à </w:t>
      </w:r>
      <w:r w:rsidR="00173A9A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>, observadas as formalidades regimentais que seja oficiado ao Senhor Prefeito Municipal Mamoru Nakashima, para que o mesmo analise os questionamentos em questão</w:t>
      </w:r>
      <w:r w:rsidR="00C95437"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z w:val="24"/>
          <w:szCs w:val="24"/>
        </w:rPr>
        <w:t>ferente aos documentos solicitados, estamos enviando mídia digital para gravação das informações, em face do princípio da Celeridade, assim como, da Economicidade, para que façam o levantamento necessário no decorrer do prazo de 20 dias corridos e seja enviado a esta Casa de Leis.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processo licitatório tipo “Pregão Presencial” nº 40/17 completo.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pagamentos efetuados mensalmente a empresa OXIGÊNIO DO BRASIL CONSTRUÇÃO CIVIL LTDA – EPP.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das Nota</w:t>
      </w:r>
      <w:r w:rsidR="00F066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Fisca</w:t>
      </w:r>
      <w:r w:rsidR="00F0668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emitidas OXIGÊNIO DO BRASIL CONSTRUÇÃO CIVIL LTDA – EPP.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documento de cada máquina do processo licitatório tipo “Pregão Presencial” nº 40/17 . 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 de fiscalização da execução dos serviços do contrato licitatório - “Pregão Presencial” nº 40/17. 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tenha ocorrido algum problema com as máquinas, qual problema ocorreu e quais medidas foram tomadas - “Pregão Presencial” nº 40/17.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ocorreu pagamento de operador, combustível e manutenção periódica de alguma máquina, especificar qual e a justificativa. Assim como Nota Fiscal do gasto efetuado - “Pregão Presencial” nº 40/17.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média de horas / mês é de 208 (duzentos e oito) por equipamento no “Pregão Presencial” nº 40/17. Essa estimativa foi cumprida? Caso contrário, qual a justificativa?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processos licitatórios completos que a empresa ELECTRA PAVIMENTA</w:t>
      </w:r>
      <w:r w:rsidR="00173A9A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E CONSTRU</w:t>
      </w:r>
      <w:r w:rsidR="00173A9A">
        <w:rPr>
          <w:rFonts w:ascii="Arial" w:hAnsi="Arial" w:cs="Arial"/>
          <w:sz w:val="24"/>
          <w:szCs w:val="24"/>
        </w:rPr>
        <w:t xml:space="preserve">ÇÃO </w:t>
      </w:r>
      <w:r>
        <w:rPr>
          <w:rFonts w:ascii="Arial" w:hAnsi="Arial" w:cs="Arial"/>
          <w:sz w:val="24"/>
          <w:szCs w:val="24"/>
        </w:rPr>
        <w:t>CIVIL LTDA firmou contrato com a Prefeitura Municipal.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pagamentos efetuados mensalmente a empresa ELECTRA PAVIMENTA</w:t>
      </w:r>
      <w:r w:rsidR="00173A9A">
        <w:rPr>
          <w:rFonts w:ascii="Arial" w:hAnsi="Arial" w:cs="Arial"/>
          <w:sz w:val="24"/>
          <w:szCs w:val="24"/>
        </w:rPr>
        <w:t>Ç</w:t>
      </w:r>
      <w:r w:rsidR="00F06687">
        <w:rPr>
          <w:rFonts w:ascii="Arial" w:hAnsi="Arial" w:cs="Arial"/>
          <w:sz w:val="24"/>
          <w:szCs w:val="24"/>
        </w:rPr>
        <w:t>ÃO</w:t>
      </w:r>
      <w:r w:rsidR="00173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CONSTRU</w:t>
      </w:r>
      <w:r w:rsidR="00173A9A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CIVIL LTDA.</w:t>
      </w:r>
    </w:p>
    <w:p w:rsidR="00116DF8" w:rsidRDefault="00586658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das Nota</w:t>
      </w:r>
      <w:r w:rsidR="00173A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Fisca</w:t>
      </w:r>
      <w:r w:rsidR="00173A9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emitidas ELECTRA PAVIMENTA</w:t>
      </w:r>
      <w:r w:rsidR="00173A9A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E CONSTRU</w:t>
      </w:r>
      <w:r w:rsidR="00173A9A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CIVIL LTDA.</w:t>
      </w:r>
    </w:p>
    <w:p w:rsidR="00116DF8" w:rsidRDefault="005866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em 24 de Junho de 2019.</w:t>
      </w:r>
    </w:p>
    <w:p w:rsidR="00116DF8" w:rsidRDefault="00116DF8">
      <w:pPr>
        <w:jc w:val="both"/>
        <w:rPr>
          <w:rFonts w:ascii="Arial" w:hAnsi="Arial" w:cs="Arial"/>
          <w:sz w:val="24"/>
          <w:szCs w:val="24"/>
        </w:rPr>
      </w:pPr>
    </w:p>
    <w:p w:rsidR="00116DF8" w:rsidRDefault="00586658">
      <w:pPr>
        <w:jc w:val="center"/>
      </w:pPr>
      <w:r>
        <w:rPr>
          <w:rFonts w:ascii="Arial" w:hAnsi="Arial" w:cs="Arial"/>
          <w:b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PRESIDENTE</w:t>
      </w:r>
    </w:p>
    <w:sectPr w:rsidR="00116DF8" w:rsidSect="0050761E">
      <w:headerReference w:type="default" r:id="rId7"/>
      <w:pgSz w:w="11906" w:h="16838"/>
      <w:pgMar w:top="2835" w:right="992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B0" w:rsidRDefault="00C255B0" w:rsidP="00586658">
      <w:pPr>
        <w:spacing w:after="0" w:line="240" w:lineRule="auto"/>
      </w:pPr>
      <w:r>
        <w:separator/>
      </w:r>
    </w:p>
  </w:endnote>
  <w:endnote w:type="continuationSeparator" w:id="1">
    <w:p w:rsidR="00C255B0" w:rsidRDefault="00C255B0" w:rsidP="0058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B0" w:rsidRDefault="00C255B0" w:rsidP="00586658">
      <w:pPr>
        <w:spacing w:after="0" w:line="240" w:lineRule="auto"/>
      </w:pPr>
      <w:r>
        <w:separator/>
      </w:r>
    </w:p>
  </w:footnote>
  <w:footnote w:type="continuationSeparator" w:id="1">
    <w:p w:rsidR="00C255B0" w:rsidRDefault="00C255B0" w:rsidP="0058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58" w:rsidRDefault="005866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468" cy="466736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468" cy="46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72E"/>
    <w:multiLevelType w:val="multilevel"/>
    <w:tmpl w:val="19FAE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C162E1"/>
    <w:multiLevelType w:val="multilevel"/>
    <w:tmpl w:val="5CC2D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6DF8"/>
    <w:rsid w:val="00075EA6"/>
    <w:rsid w:val="00116DF8"/>
    <w:rsid w:val="00173A9A"/>
    <w:rsid w:val="0021787B"/>
    <w:rsid w:val="002E1778"/>
    <w:rsid w:val="003758AB"/>
    <w:rsid w:val="0050761E"/>
    <w:rsid w:val="00586658"/>
    <w:rsid w:val="007F694E"/>
    <w:rsid w:val="00B07C89"/>
    <w:rsid w:val="00B60DC7"/>
    <w:rsid w:val="00C255B0"/>
    <w:rsid w:val="00C95437"/>
    <w:rsid w:val="00F0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9B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link w:val="Ttulo2Char"/>
    <w:uiPriority w:val="9"/>
    <w:qFormat/>
    <w:rsid w:val="004345A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4345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9B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qFormat/>
    <w:rsid w:val="009B4496"/>
  </w:style>
  <w:style w:type="character" w:customStyle="1" w:styleId="ListLabel1">
    <w:name w:val="ListLabel 1"/>
    <w:qFormat/>
    <w:rsid w:val="00691D6A"/>
    <w:rPr>
      <w:rFonts w:cs="Courier New"/>
    </w:rPr>
  </w:style>
  <w:style w:type="character" w:customStyle="1" w:styleId="ListLabel2">
    <w:name w:val="ListLabel 2"/>
    <w:qFormat/>
    <w:rsid w:val="00691D6A"/>
    <w:rPr>
      <w:rFonts w:cs="Courier New"/>
    </w:rPr>
  </w:style>
  <w:style w:type="character" w:customStyle="1" w:styleId="ListLabel3">
    <w:name w:val="ListLabel 3"/>
    <w:qFormat/>
    <w:rsid w:val="00691D6A"/>
    <w:rPr>
      <w:rFonts w:cs="Courier New"/>
    </w:rPr>
  </w:style>
  <w:style w:type="paragraph" w:styleId="Ttulo">
    <w:name w:val="Title"/>
    <w:basedOn w:val="Normal"/>
    <w:next w:val="Corpodetexto"/>
    <w:qFormat/>
    <w:rsid w:val="00691D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91D6A"/>
    <w:pPr>
      <w:spacing w:after="140"/>
    </w:pPr>
  </w:style>
  <w:style w:type="paragraph" w:styleId="Lista">
    <w:name w:val="List"/>
    <w:basedOn w:val="Corpodetexto"/>
    <w:rsid w:val="00691D6A"/>
    <w:rPr>
      <w:rFonts w:cs="Mangal"/>
    </w:rPr>
  </w:style>
  <w:style w:type="paragraph" w:customStyle="1" w:styleId="Caption">
    <w:name w:val="Caption"/>
    <w:basedOn w:val="Normal"/>
    <w:qFormat/>
    <w:rsid w:val="00691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D6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E40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86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6658"/>
  </w:style>
  <w:style w:type="paragraph" w:styleId="Rodap">
    <w:name w:val="footer"/>
    <w:basedOn w:val="Normal"/>
    <w:link w:val="RodapChar"/>
    <w:uiPriority w:val="99"/>
    <w:semiHidden/>
    <w:unhideWhenUsed/>
    <w:rsid w:val="00586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ALGUMA</dc:creator>
  <dc:description/>
  <cp:lastModifiedBy>Elza Legislativo</cp:lastModifiedBy>
  <cp:revision>11</cp:revision>
  <cp:lastPrinted>2019-08-07T13:03:00Z</cp:lastPrinted>
  <dcterms:created xsi:type="dcterms:W3CDTF">2019-06-24T17:26:00Z</dcterms:created>
  <dcterms:modified xsi:type="dcterms:W3CDTF">2019-08-07T13:08:00Z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