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531FD7" w:rsidRPr="006758D2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- 2ª Sessão Extraordinária de 2021</w:t>
      </w:r>
    </w:p>
    <w:bookmarkEnd w:id="0"/>
    <w:bookmarkEnd w:id="1"/>
    <w:bookmarkEnd w:id="2"/>
    <w:bookmarkEnd w:id="3"/>
    <w:p w:rsidR="009A0E47" w:rsidP="00BC07FD"/>
    <w:p w:rsidR="00F11889" w:rsidP="00BC07FD">
      <w:r>
        <w:rPr>
          <w:b/>
          <w:i w:val="0"/>
          <w:sz w:val="22"/>
          <w:u w:val="none"/>
        </w:rPr>
        <w:t>Projeto de Lei Nº 35/2021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Eduardo Boigues Queroz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Altera, até 31/12/2021, os percentuais de que trata a Lei nº 2078/2001"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Projeto de Lei Nº 36/2021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Mesa Diretora 2021/2022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“Altera o artigo 2º, da Lei Municipal nº 3.513, de 06 de novembro de 2019 e dá outras providências.”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Projeto de Lei Complementar Nº 330/2021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Eduardo Boigues Queroz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"Institui o Programa de Recuperação Fiscal, denominado "Refis Itaquá" ao Município de Itaquaquecetuba - SP, e dá outras providências"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Projeto de Lei Complementar Nº 331/2021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Eduardo Boigues Queroz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"Dispõe sobre a revogação dos artigos 45 e 46 da Lei Complementar nº 245, de 27 de junho de 2014, e dá nova redação ao artigo 101 da Lei Complementar nº 64, de 26 de dezembro de 2002, em razão da promulgação da Emenda Constitucional nº 103/2019"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>Projeto de Lei Complementar Nº 332/2021</w:t>
      </w:r>
    </w:p>
    <w:p w:rsidP="00BC07FD">
      <w:pPr>
        <w:rPr>
          <w:b/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Autoria: </w:t>
      </w:r>
      <w:r>
        <w:rPr>
          <w:b w:val="0"/>
          <w:i/>
          <w:sz w:val="22"/>
          <w:u w:val="none"/>
        </w:rPr>
        <w:t>Eduardo Boigues Queroz</w:t>
      </w:r>
    </w:p>
    <w:p w:rsidP="00BC07FD">
      <w:pPr>
        <w:rPr>
          <w:b w:val="0"/>
          <w:i/>
          <w:sz w:val="22"/>
          <w:u w:val="none"/>
        </w:rPr>
      </w:pPr>
      <w:r>
        <w:rPr>
          <w:b/>
          <w:i w:val="0"/>
          <w:sz w:val="22"/>
          <w:u w:val="none"/>
        </w:rPr>
        <w:t xml:space="preserve">Assunto: </w:t>
      </w:r>
      <w:r>
        <w:rPr>
          <w:b w:val="0"/>
          <w:i/>
          <w:sz w:val="22"/>
          <w:u w:val="none"/>
        </w:rPr>
        <w:t>"Dispõe sobre a alteração da Lei Complementar nº 318, de 21 de dezembro de 2020, e dá outras providências"</w:t>
      </w:r>
    </w:p>
    <w:p w:rsidP="00BC07FD">
      <w:pPr>
        <w:rPr>
          <w:b w:val="0"/>
          <w:i/>
          <w:sz w:val="22"/>
          <w:u w:val="none"/>
        </w:rPr>
      </w:pPr>
    </w:p>
    <w:p w:rsidP="00BC07FD">
      <w:pPr>
        <w:rPr>
          <w:b w:val="0"/>
          <w:i/>
          <w:sz w:val="22"/>
          <w:u w:val="none"/>
        </w:rPr>
      </w:pPr>
    </w:p>
    <w:p w:rsidR="006452D1" w:rsidRPr="00BC07FD" w:rsidP="00BC07FD"/>
    <w:sectPr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Legislativo</cp:lastModifiedBy>
  <cp:revision>13</cp:revision>
  <dcterms:created xsi:type="dcterms:W3CDTF">2015-07-02T20:38:00Z</dcterms:created>
  <dcterms:modified xsi:type="dcterms:W3CDTF">2019-10-15T11:24:00Z</dcterms:modified>
</cp:coreProperties>
</file>