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4" w:rsidRDefault="00087384" w:rsidP="00087384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LEI N.º____</w:t>
      </w:r>
      <w:r w:rsidR="00A56F6A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_DE</w:t>
      </w:r>
      <w:r w:rsidR="00197869">
        <w:rPr>
          <w:rFonts w:ascii="Arial" w:hAnsi="Arial" w:cs="Arial"/>
          <w:b/>
          <w:sz w:val="22"/>
          <w:szCs w:val="22"/>
        </w:rPr>
        <w:t>___</w:t>
      </w:r>
      <w:r w:rsidR="00A56F6A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056E5">
        <w:rPr>
          <w:rFonts w:ascii="Arial" w:hAnsi="Arial" w:cs="Arial"/>
          <w:b/>
          <w:sz w:val="22"/>
          <w:szCs w:val="22"/>
        </w:rPr>
        <w:t>FEVEREIRO</w:t>
      </w:r>
      <w:r>
        <w:rPr>
          <w:rFonts w:ascii="Arial" w:hAnsi="Arial" w:cs="Arial"/>
          <w:b/>
          <w:sz w:val="22"/>
          <w:szCs w:val="22"/>
        </w:rPr>
        <w:t xml:space="preserve"> DE 202</w:t>
      </w:r>
      <w:r w:rsidR="00E77C89">
        <w:rPr>
          <w:rFonts w:ascii="Arial" w:hAnsi="Arial" w:cs="Arial"/>
          <w:b/>
          <w:sz w:val="22"/>
          <w:szCs w:val="22"/>
        </w:rPr>
        <w:t>2</w:t>
      </w:r>
      <w:r w:rsidR="00197869">
        <w:rPr>
          <w:rFonts w:ascii="Arial" w:hAnsi="Arial" w:cs="Arial"/>
          <w:b/>
          <w:sz w:val="22"/>
          <w:szCs w:val="22"/>
        </w:rPr>
        <w:t>.</w:t>
      </w:r>
    </w:p>
    <w:p w:rsidR="0097382B" w:rsidRPr="00087384" w:rsidRDefault="0097382B" w:rsidP="0008738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E77C89" w:rsidRPr="00E77C89" w:rsidRDefault="00E77C89" w:rsidP="00E77C89">
      <w:pPr>
        <w:spacing w:before="280" w:after="280" w:line="360" w:lineRule="auto"/>
        <w:ind w:left="3261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Dá nova redação à Lei nº 2.329, de 09 de junho de 2005.</w:t>
      </w:r>
    </w:p>
    <w:p w:rsidR="0097382B" w:rsidRDefault="0097382B" w:rsidP="00087384">
      <w:pPr>
        <w:spacing w:after="240"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087384" w:rsidRPr="00087384" w:rsidRDefault="00087384" w:rsidP="00A017C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56F6A">
        <w:rPr>
          <w:rFonts w:ascii="Arial" w:hAnsi="Arial" w:cs="Arial"/>
          <w:b/>
          <w:sz w:val="22"/>
          <w:szCs w:val="22"/>
        </w:rPr>
        <w:t>O Prefeito Municipal de Itaquaquecetuba</w:t>
      </w:r>
      <w:r w:rsidR="00A017C2">
        <w:rPr>
          <w:rFonts w:ascii="Arial" w:hAnsi="Arial" w:cs="Arial"/>
          <w:b/>
          <w:sz w:val="22"/>
          <w:szCs w:val="22"/>
        </w:rPr>
        <w:t xml:space="preserve"> </w:t>
      </w:r>
      <w:r w:rsidR="00A017C2" w:rsidRPr="00A017C2">
        <w:rPr>
          <w:rFonts w:ascii="Arial" w:hAnsi="Arial" w:cs="Arial"/>
          <w:sz w:val="22"/>
          <w:szCs w:val="22"/>
        </w:rPr>
        <w:t>faz</w:t>
      </w:r>
      <w:r w:rsidRPr="00087384">
        <w:rPr>
          <w:rFonts w:ascii="Arial" w:hAnsi="Arial" w:cs="Arial"/>
          <w:sz w:val="22"/>
          <w:szCs w:val="22"/>
        </w:rPr>
        <w:t xml:space="preserve"> saber que a Câmara Municipal aprovou e ele sanciona a seguinte Lei:</w:t>
      </w:r>
    </w:p>
    <w:p w:rsidR="00E77C89" w:rsidRPr="00E77C89" w:rsidRDefault="00E77C89" w:rsidP="00E77C89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Art. 1º A Lei n.º 2.329, de 09 de junho de 2005, passa a vigorar com a seguinte redação: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 xml:space="preserve">“Art. 1º Fica criado o "Programa de Proteção à Primeira Infância, Convivência, Educação e Desenvolvimento", cujo atendimento se dará através de Creches Subvencionadas, administradas em parceria com Organizações da Sociedade Civil, nos moldes da Lei Federal nº 13.019/2014. 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.............................................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Art. 10 Fica o Poder Executivo autorizado a desenvolver as atividades a que alude esta Lei através de: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 – Imóvel construído pela Municipalidade e cedido às entidades de natureza filantrópica e/ou beneficentes que estejam legalmente constituídas, dotando-as com móveis e utensílios imprescindíveis ao pleno desenvolvimento das atividades;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II – Imóvel alugado e adaptado, dotando as dependências das edificações com móveis e utensílios para desenvolvimento do Projeto de Atendimento de Criança de 0 a 6 anos;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lastRenderedPageBreak/>
        <w:t xml:space="preserve">III – Imóvel cedido ao Poder Público por entidade filantrópica ou beneficente e que deseje desenvolver Projeto de Atendimento de Crianças de 0 a 6 anos. 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 xml:space="preserve">§ 1º O compartilhamento de ações entre o Poder Público e as entidades será estabelecido por meio de Termo de Colaboração onde se fixará o valor mensal per capita a ser repassado para a execução do Programa. 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 xml:space="preserve">§ 2º O valor mensal do per capita a que se refere o parágrafo anterior será calculado com base nas despesas diretas e indiretas que a entidade terá que suportar com pessoal, manutenção, fornecimento de alimentação, material de consumo, material pedagógico e outras despesas correlatas, atualizadas anualmente por ato do Chefe do Poder Executivo.  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 xml:space="preserve">Art. 11 As entidades interessadas em formalizar Termo de Colaboração deverão ser aprovadas em processo de Chamamento Público. 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 – (Revogado);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II – (Revogado);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III – (Revogado);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IV – (Revogado);</w:t>
      </w:r>
    </w:p>
    <w:p w:rsidR="00E77C89" w:rsidRPr="00E77C89" w:rsidRDefault="00E77C89" w:rsidP="00E77C89">
      <w:pPr>
        <w:tabs>
          <w:tab w:val="left" w:pos="1305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V – (Revogado);</w:t>
      </w:r>
    </w:p>
    <w:p w:rsidR="00E77C89" w:rsidRPr="00E77C89" w:rsidRDefault="00E77C89" w:rsidP="00E77C89">
      <w:pPr>
        <w:tabs>
          <w:tab w:val="left" w:pos="1305"/>
          <w:tab w:val="left" w:pos="3600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VI – (Revogado).</w:t>
      </w:r>
      <w:r w:rsidRPr="00E77C89">
        <w:rPr>
          <w:rFonts w:ascii="Arial" w:hAnsi="Arial" w:cs="Arial"/>
          <w:sz w:val="22"/>
          <w:szCs w:val="22"/>
        </w:rPr>
        <w:tab/>
      </w:r>
    </w:p>
    <w:p w:rsidR="00E77C89" w:rsidRPr="00E77C89" w:rsidRDefault="00E77C89" w:rsidP="00E77C89">
      <w:pPr>
        <w:tabs>
          <w:tab w:val="left" w:pos="1305"/>
          <w:tab w:val="left" w:pos="3600"/>
        </w:tabs>
        <w:spacing w:before="280" w:after="280" w:line="360" w:lineRule="auto"/>
        <w:ind w:left="1305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.............................................”</w:t>
      </w:r>
    </w:p>
    <w:p w:rsidR="00E77C89" w:rsidRPr="00E77C89" w:rsidRDefault="00E77C89" w:rsidP="00E77C89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t>Art. 2º As despesas decorrentes da execução da presente Lei correrão por conta das dotações orçamentárias próprias, suplementas se necessário.</w:t>
      </w:r>
    </w:p>
    <w:p w:rsidR="00A56F6A" w:rsidRPr="002C01AC" w:rsidRDefault="00E77C89" w:rsidP="00E77C89">
      <w:pPr>
        <w:tabs>
          <w:tab w:val="left" w:pos="1305"/>
        </w:tabs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E77C89">
        <w:rPr>
          <w:rFonts w:ascii="Arial" w:hAnsi="Arial" w:cs="Arial"/>
          <w:sz w:val="22"/>
          <w:szCs w:val="22"/>
        </w:rPr>
        <w:lastRenderedPageBreak/>
        <w:t>Art. 3º Esta Lei entra em vigor na data de sua p</w:t>
      </w:r>
      <w:r>
        <w:rPr>
          <w:rFonts w:ascii="Arial" w:hAnsi="Arial" w:cs="Arial"/>
          <w:sz w:val="22"/>
          <w:szCs w:val="22"/>
        </w:rPr>
        <w:t>ublicação, revogando-se as disposições em contrário.</w:t>
      </w:r>
    </w:p>
    <w:p w:rsidR="00A56F6A" w:rsidRPr="00E76A32" w:rsidRDefault="00A56F6A" w:rsidP="00A56F6A">
      <w:pPr>
        <w:rPr>
          <w:rFonts w:ascii="Arial" w:hAnsi="Arial" w:cs="Arial"/>
        </w:rPr>
      </w:pPr>
    </w:p>
    <w:p w:rsidR="00087384" w:rsidRPr="00C9339F" w:rsidRDefault="00087384" w:rsidP="00C9339F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39F">
        <w:rPr>
          <w:rFonts w:ascii="Arial" w:hAnsi="Arial" w:cs="Arial"/>
          <w:b/>
          <w:sz w:val="22"/>
          <w:szCs w:val="22"/>
        </w:rPr>
        <w:t>EDUARDO BOIGUES QUEROZ</w:t>
      </w:r>
    </w:p>
    <w:p w:rsidR="00087384" w:rsidRDefault="00087384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F24D94">
        <w:rPr>
          <w:rFonts w:ascii="Arial" w:hAnsi="Arial" w:cs="Arial"/>
          <w:sz w:val="22"/>
          <w:szCs w:val="22"/>
        </w:rPr>
        <w:t>Prefeito Municipal</w:t>
      </w: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E77C89" w:rsidRDefault="00E77C89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197869" w:rsidRDefault="00197869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MENSAGEM</w:t>
      </w:r>
    </w:p>
    <w:p w:rsidR="00197869" w:rsidRPr="00F24D94" w:rsidRDefault="00197869" w:rsidP="0019786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97869" w:rsidRPr="00F24D94" w:rsidRDefault="00197869" w:rsidP="00197869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F24D94">
        <w:rPr>
          <w:rFonts w:ascii="Arial" w:hAnsi="Arial" w:cs="Arial"/>
          <w:bCs/>
          <w:sz w:val="22"/>
          <w:szCs w:val="22"/>
        </w:rPr>
        <w:t xml:space="preserve">Itaquaquecetuba, </w:t>
      </w:r>
      <w:r w:rsidR="001056E5">
        <w:rPr>
          <w:rFonts w:ascii="Arial" w:hAnsi="Arial" w:cs="Arial"/>
          <w:bCs/>
          <w:sz w:val="22"/>
          <w:szCs w:val="22"/>
        </w:rPr>
        <w:t>0</w:t>
      </w:r>
      <w:r w:rsidR="00D33DC6">
        <w:rPr>
          <w:rFonts w:ascii="Arial" w:hAnsi="Arial" w:cs="Arial"/>
          <w:bCs/>
          <w:sz w:val="22"/>
          <w:szCs w:val="22"/>
        </w:rPr>
        <w:t>1</w:t>
      </w:r>
      <w:r w:rsidRPr="00F24D94">
        <w:rPr>
          <w:rFonts w:ascii="Arial" w:hAnsi="Arial" w:cs="Arial"/>
          <w:bCs/>
          <w:sz w:val="22"/>
          <w:szCs w:val="22"/>
        </w:rPr>
        <w:t xml:space="preserve"> de </w:t>
      </w:r>
      <w:r w:rsidR="001056E5">
        <w:rPr>
          <w:rFonts w:ascii="Arial" w:hAnsi="Arial" w:cs="Arial"/>
          <w:bCs/>
          <w:sz w:val="22"/>
          <w:szCs w:val="22"/>
        </w:rPr>
        <w:t>fevereiro</w:t>
      </w:r>
      <w:r w:rsidRPr="00F24D94">
        <w:rPr>
          <w:rFonts w:ascii="Arial" w:hAnsi="Arial" w:cs="Arial"/>
          <w:bCs/>
          <w:sz w:val="22"/>
          <w:szCs w:val="22"/>
        </w:rPr>
        <w:t xml:space="preserve"> de 202</w:t>
      </w:r>
      <w:r w:rsidR="00E77C89">
        <w:rPr>
          <w:rFonts w:ascii="Arial" w:hAnsi="Arial" w:cs="Arial"/>
          <w:bCs/>
          <w:sz w:val="22"/>
          <w:szCs w:val="22"/>
        </w:rPr>
        <w:t>2</w:t>
      </w:r>
      <w:r w:rsidRPr="00F24D94">
        <w:rPr>
          <w:rFonts w:ascii="Arial" w:hAnsi="Arial" w:cs="Arial"/>
          <w:bCs/>
          <w:sz w:val="22"/>
          <w:szCs w:val="22"/>
        </w:rPr>
        <w:t>.</w:t>
      </w:r>
    </w:p>
    <w:p w:rsidR="00197869" w:rsidRDefault="00197869" w:rsidP="0019786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97869" w:rsidRDefault="00197869" w:rsidP="0019786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Excelentíssimo Senhor Vereador Presidente, </w:t>
      </w:r>
    </w:p>
    <w:p w:rsidR="00197869" w:rsidRDefault="00197869" w:rsidP="0019786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A6F31" w:rsidRPr="00F2777A" w:rsidRDefault="00197869" w:rsidP="00E77C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Encaminho a Vossa Excelência e a seus Nobres Pares o incluso Projeto de Lei que busca autorização legislativa </w:t>
      </w:r>
      <w:r w:rsidR="00E77C89">
        <w:rPr>
          <w:rFonts w:ascii="Arial" w:hAnsi="Arial" w:cs="Arial"/>
          <w:bCs/>
          <w:sz w:val="22"/>
          <w:szCs w:val="22"/>
        </w:rPr>
        <w:t>para atualização da legislação que disciplina as parcerias com as Organizações da Sociedade Civil, de forma mais ampla, por força da Lei Federal n.º 13.019/2014.</w:t>
      </w:r>
    </w:p>
    <w:p w:rsidR="00197869" w:rsidRDefault="00197869" w:rsidP="00197869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Aguardamos que após a criteriosa análise dos Nobres Pares, seja a presente proposição aprovada por essa respeitável Casa de Leis. </w:t>
      </w:r>
    </w:p>
    <w:p w:rsidR="00197869" w:rsidRDefault="00197869" w:rsidP="00A017C2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</w:r>
      <w:r w:rsidRPr="00F24D94">
        <w:rPr>
          <w:rFonts w:ascii="Arial" w:hAnsi="Arial" w:cs="Arial"/>
          <w:bCs/>
          <w:sz w:val="22"/>
          <w:szCs w:val="22"/>
        </w:rPr>
        <w:tab/>
        <w:t>Aproveito a oportunidade para reiterar meus votos de elevada estima e distinta consideração.</w:t>
      </w:r>
    </w:p>
    <w:p w:rsidR="00833463" w:rsidRDefault="00833463" w:rsidP="00197869">
      <w:pPr>
        <w:pStyle w:val="Ttulo"/>
        <w:ind w:firstLine="709"/>
        <w:rPr>
          <w:rFonts w:ascii="Arial" w:hAnsi="Arial" w:cs="Arial"/>
          <w:bCs w:val="0"/>
          <w:sz w:val="22"/>
          <w:szCs w:val="22"/>
        </w:rPr>
      </w:pPr>
    </w:p>
    <w:p w:rsidR="00197869" w:rsidRPr="00087384" w:rsidRDefault="00197869" w:rsidP="00197869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7384">
        <w:rPr>
          <w:rFonts w:ascii="Arial" w:hAnsi="Arial" w:cs="Arial"/>
          <w:b/>
          <w:sz w:val="22"/>
          <w:szCs w:val="22"/>
        </w:rPr>
        <w:t>EDUARDO BOIGUES QUEROZ</w:t>
      </w:r>
    </w:p>
    <w:p w:rsidR="00087384" w:rsidRPr="00087384" w:rsidRDefault="00197869" w:rsidP="0019786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F24D94">
        <w:rPr>
          <w:rFonts w:ascii="Arial" w:hAnsi="Arial" w:cs="Arial"/>
          <w:sz w:val="22"/>
          <w:szCs w:val="22"/>
        </w:rPr>
        <w:t>Prefeito Municipal</w:t>
      </w:r>
    </w:p>
    <w:sectPr w:rsidR="00087384" w:rsidRPr="00087384" w:rsidSect="007721A5">
      <w:headerReference w:type="default" r:id="rId7"/>
      <w:footerReference w:type="default" r:id="rId8"/>
      <w:pgSz w:w="11907" w:h="16840" w:code="9"/>
      <w:pgMar w:top="1134" w:right="1134" w:bottom="96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95" w:rsidRDefault="00415C95">
      <w:r>
        <w:separator/>
      </w:r>
    </w:p>
  </w:endnote>
  <w:endnote w:type="continuationSeparator" w:id="0">
    <w:p w:rsidR="00415C95" w:rsidRDefault="0041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96719"/>
      <w:docPartObj>
        <w:docPartGallery w:val="Page Numbers (Bottom of Page)"/>
        <w:docPartUnique/>
      </w:docPartObj>
    </w:sdtPr>
    <w:sdtContent>
      <w:p w:rsidR="00A017C2" w:rsidRDefault="00A017C2">
        <w:pPr>
          <w:pStyle w:val="Rodap"/>
          <w:jc w:val="right"/>
        </w:pPr>
        <w:r>
          <w:t xml:space="preserve"> </w:t>
        </w:r>
        <w:fldSimple w:instr=" PAGE   \* MERGEFORMAT ">
          <w:r w:rsidR="001056E5">
            <w:rPr>
              <w:noProof/>
            </w:rPr>
            <w:t>1</w:t>
          </w:r>
        </w:fldSimple>
        <w:r>
          <w:t xml:space="preserve"> de 4</w:t>
        </w:r>
      </w:p>
    </w:sdtContent>
  </w:sdt>
  <w:p w:rsidR="00A017C2" w:rsidRDefault="00A01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95" w:rsidRDefault="00415C95">
      <w:r>
        <w:separator/>
      </w:r>
    </w:p>
  </w:footnote>
  <w:footnote w:type="continuationSeparator" w:id="0">
    <w:p w:rsidR="00415C95" w:rsidRDefault="0041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7" w:rsidRDefault="005443C7" w:rsidP="005443C7">
    <w:pPr>
      <w:pStyle w:val="Cabealho"/>
      <w:jc w:val="center"/>
    </w:pPr>
    <w:r>
      <w:rPr>
        <w:noProof/>
      </w:rPr>
      <w:drawing>
        <wp:inline distT="0" distB="0" distL="0" distR="0">
          <wp:extent cx="690114" cy="653427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11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:rsidR="00DE06C2" w:rsidRPr="002001D1" w:rsidRDefault="00DE06C2" w:rsidP="00DE06C2">
    <w:pPr>
      <w:pStyle w:val="Cabealho"/>
    </w:pPr>
  </w:p>
  <w:p w:rsidR="00AE0CD2" w:rsidRPr="00DE06C2" w:rsidRDefault="00AE0CD2" w:rsidP="00DE06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00"/>
    <w:multiLevelType w:val="hybridMultilevel"/>
    <w:tmpl w:val="DE645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5949"/>
    <w:multiLevelType w:val="hybridMultilevel"/>
    <w:tmpl w:val="3828CBE8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04160013">
      <w:start w:val="1"/>
      <w:numFmt w:val="upperRoman"/>
      <w:lvlText w:val="%4."/>
      <w:lvlJc w:val="righ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>
    <w:nsid w:val="7C8C5FAA"/>
    <w:multiLevelType w:val="hybridMultilevel"/>
    <w:tmpl w:val="B1EC2DC2"/>
    <w:lvl w:ilvl="0" w:tplc="577CB53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413CFF"/>
    <w:rsid w:val="000048C8"/>
    <w:rsid w:val="000226B1"/>
    <w:rsid w:val="00040B25"/>
    <w:rsid w:val="000410E3"/>
    <w:rsid w:val="00042152"/>
    <w:rsid w:val="00042592"/>
    <w:rsid w:val="00047A29"/>
    <w:rsid w:val="00067A93"/>
    <w:rsid w:val="000867FD"/>
    <w:rsid w:val="00087384"/>
    <w:rsid w:val="000878C6"/>
    <w:rsid w:val="000950A1"/>
    <w:rsid w:val="000955E2"/>
    <w:rsid w:val="000A122F"/>
    <w:rsid w:val="000A1537"/>
    <w:rsid w:val="000A26CD"/>
    <w:rsid w:val="000B355C"/>
    <w:rsid w:val="000C7C27"/>
    <w:rsid w:val="000E1C63"/>
    <w:rsid w:val="000F70DD"/>
    <w:rsid w:val="000F7317"/>
    <w:rsid w:val="001056E5"/>
    <w:rsid w:val="0011181F"/>
    <w:rsid w:val="00112E46"/>
    <w:rsid w:val="00123395"/>
    <w:rsid w:val="00136AAC"/>
    <w:rsid w:val="00152143"/>
    <w:rsid w:val="00164246"/>
    <w:rsid w:val="0017323B"/>
    <w:rsid w:val="00181261"/>
    <w:rsid w:val="00197869"/>
    <w:rsid w:val="001A103D"/>
    <w:rsid w:val="001A3EE4"/>
    <w:rsid w:val="001A45D5"/>
    <w:rsid w:val="001A69CE"/>
    <w:rsid w:val="001B04F8"/>
    <w:rsid w:val="001C09DD"/>
    <w:rsid w:val="001C1DFF"/>
    <w:rsid w:val="001D7BCE"/>
    <w:rsid w:val="001F4EA4"/>
    <w:rsid w:val="0021404D"/>
    <w:rsid w:val="00220374"/>
    <w:rsid w:val="00234661"/>
    <w:rsid w:val="002604DE"/>
    <w:rsid w:val="00282CCB"/>
    <w:rsid w:val="00284E8A"/>
    <w:rsid w:val="00285B8C"/>
    <w:rsid w:val="002A22B0"/>
    <w:rsid w:val="002C3930"/>
    <w:rsid w:val="002D01A3"/>
    <w:rsid w:val="002D5E7A"/>
    <w:rsid w:val="002E25A3"/>
    <w:rsid w:val="002E7F5B"/>
    <w:rsid w:val="002F048B"/>
    <w:rsid w:val="002F2E3B"/>
    <w:rsid w:val="002F35C8"/>
    <w:rsid w:val="002F6EE3"/>
    <w:rsid w:val="00313433"/>
    <w:rsid w:val="00316919"/>
    <w:rsid w:val="003176BD"/>
    <w:rsid w:val="003201BB"/>
    <w:rsid w:val="00320B92"/>
    <w:rsid w:val="00371DD7"/>
    <w:rsid w:val="00376A23"/>
    <w:rsid w:val="00377525"/>
    <w:rsid w:val="00387850"/>
    <w:rsid w:val="003906BB"/>
    <w:rsid w:val="003A3DBD"/>
    <w:rsid w:val="003B0511"/>
    <w:rsid w:val="003B0A04"/>
    <w:rsid w:val="003B0DF7"/>
    <w:rsid w:val="003B2FEB"/>
    <w:rsid w:val="003D33CB"/>
    <w:rsid w:val="003E1121"/>
    <w:rsid w:val="00403DC5"/>
    <w:rsid w:val="0041343E"/>
    <w:rsid w:val="00413CFF"/>
    <w:rsid w:val="00415C95"/>
    <w:rsid w:val="00416BE9"/>
    <w:rsid w:val="00417543"/>
    <w:rsid w:val="00441193"/>
    <w:rsid w:val="00447B4C"/>
    <w:rsid w:val="00453EBE"/>
    <w:rsid w:val="004617AB"/>
    <w:rsid w:val="00462382"/>
    <w:rsid w:val="004B086D"/>
    <w:rsid w:val="004B680E"/>
    <w:rsid w:val="004C1528"/>
    <w:rsid w:val="004C5B02"/>
    <w:rsid w:val="004E2F35"/>
    <w:rsid w:val="004E51D0"/>
    <w:rsid w:val="004F0370"/>
    <w:rsid w:val="00515970"/>
    <w:rsid w:val="00515E2E"/>
    <w:rsid w:val="00526013"/>
    <w:rsid w:val="00530F9E"/>
    <w:rsid w:val="00542DDE"/>
    <w:rsid w:val="005443C7"/>
    <w:rsid w:val="00546A50"/>
    <w:rsid w:val="005670AB"/>
    <w:rsid w:val="005756EE"/>
    <w:rsid w:val="00583BA3"/>
    <w:rsid w:val="005A5A8A"/>
    <w:rsid w:val="005C21B9"/>
    <w:rsid w:val="005D0CCD"/>
    <w:rsid w:val="005D546E"/>
    <w:rsid w:val="005D691F"/>
    <w:rsid w:val="005D6C92"/>
    <w:rsid w:val="005E2A59"/>
    <w:rsid w:val="005F232A"/>
    <w:rsid w:val="006118EC"/>
    <w:rsid w:val="00633054"/>
    <w:rsid w:val="00637083"/>
    <w:rsid w:val="00643257"/>
    <w:rsid w:val="00643560"/>
    <w:rsid w:val="00656F04"/>
    <w:rsid w:val="0066129A"/>
    <w:rsid w:val="00683FA5"/>
    <w:rsid w:val="006A1138"/>
    <w:rsid w:val="006A63F6"/>
    <w:rsid w:val="006A6F31"/>
    <w:rsid w:val="006B065D"/>
    <w:rsid w:val="006B07B8"/>
    <w:rsid w:val="006B7FE4"/>
    <w:rsid w:val="006E1436"/>
    <w:rsid w:val="006F386F"/>
    <w:rsid w:val="007156F5"/>
    <w:rsid w:val="00723BA1"/>
    <w:rsid w:val="00726ED7"/>
    <w:rsid w:val="007275C2"/>
    <w:rsid w:val="00740E38"/>
    <w:rsid w:val="00745B70"/>
    <w:rsid w:val="007611CD"/>
    <w:rsid w:val="00764B70"/>
    <w:rsid w:val="007721A5"/>
    <w:rsid w:val="00780456"/>
    <w:rsid w:val="00787CBD"/>
    <w:rsid w:val="00793BDC"/>
    <w:rsid w:val="007B111E"/>
    <w:rsid w:val="007F6C41"/>
    <w:rsid w:val="007F79AB"/>
    <w:rsid w:val="00802184"/>
    <w:rsid w:val="0081566C"/>
    <w:rsid w:val="00831C5D"/>
    <w:rsid w:val="00832189"/>
    <w:rsid w:val="00833463"/>
    <w:rsid w:val="00860600"/>
    <w:rsid w:val="00861AC6"/>
    <w:rsid w:val="008819DA"/>
    <w:rsid w:val="008953A7"/>
    <w:rsid w:val="008A487E"/>
    <w:rsid w:val="008A5625"/>
    <w:rsid w:val="008D5BA5"/>
    <w:rsid w:val="008E0E11"/>
    <w:rsid w:val="008E30E1"/>
    <w:rsid w:val="00915F76"/>
    <w:rsid w:val="00930BC9"/>
    <w:rsid w:val="00933061"/>
    <w:rsid w:val="0093408A"/>
    <w:rsid w:val="00966D11"/>
    <w:rsid w:val="0097382B"/>
    <w:rsid w:val="009C6309"/>
    <w:rsid w:val="009C6801"/>
    <w:rsid w:val="009F532F"/>
    <w:rsid w:val="009F6484"/>
    <w:rsid w:val="00A017C2"/>
    <w:rsid w:val="00A12D83"/>
    <w:rsid w:val="00A27160"/>
    <w:rsid w:val="00A337D8"/>
    <w:rsid w:val="00A34AAE"/>
    <w:rsid w:val="00A4193A"/>
    <w:rsid w:val="00A553F5"/>
    <w:rsid w:val="00A56F6A"/>
    <w:rsid w:val="00A62087"/>
    <w:rsid w:val="00A629D4"/>
    <w:rsid w:val="00A9146B"/>
    <w:rsid w:val="00AB207B"/>
    <w:rsid w:val="00AC58A6"/>
    <w:rsid w:val="00AE0CD2"/>
    <w:rsid w:val="00AE3C39"/>
    <w:rsid w:val="00AF1073"/>
    <w:rsid w:val="00AF257E"/>
    <w:rsid w:val="00AF3C78"/>
    <w:rsid w:val="00B02FBD"/>
    <w:rsid w:val="00B2726A"/>
    <w:rsid w:val="00B33BD4"/>
    <w:rsid w:val="00B40F0A"/>
    <w:rsid w:val="00B4637C"/>
    <w:rsid w:val="00B569BA"/>
    <w:rsid w:val="00B63FDD"/>
    <w:rsid w:val="00B6461F"/>
    <w:rsid w:val="00B73C0E"/>
    <w:rsid w:val="00B93055"/>
    <w:rsid w:val="00BC2F2D"/>
    <w:rsid w:val="00BC2F52"/>
    <w:rsid w:val="00BC48CB"/>
    <w:rsid w:val="00BD2C50"/>
    <w:rsid w:val="00C063B3"/>
    <w:rsid w:val="00C06F68"/>
    <w:rsid w:val="00C40E0C"/>
    <w:rsid w:val="00C502ED"/>
    <w:rsid w:val="00C5042B"/>
    <w:rsid w:val="00C521B8"/>
    <w:rsid w:val="00C66090"/>
    <w:rsid w:val="00C86D96"/>
    <w:rsid w:val="00C9339F"/>
    <w:rsid w:val="00CB12FE"/>
    <w:rsid w:val="00CB5D53"/>
    <w:rsid w:val="00CB6D3E"/>
    <w:rsid w:val="00CE7D08"/>
    <w:rsid w:val="00CF7DC1"/>
    <w:rsid w:val="00D22D7E"/>
    <w:rsid w:val="00D33DC6"/>
    <w:rsid w:val="00D353BF"/>
    <w:rsid w:val="00D51D9A"/>
    <w:rsid w:val="00D54565"/>
    <w:rsid w:val="00D61D9B"/>
    <w:rsid w:val="00D66772"/>
    <w:rsid w:val="00DA53F8"/>
    <w:rsid w:val="00DD33BC"/>
    <w:rsid w:val="00DE06C2"/>
    <w:rsid w:val="00DE1305"/>
    <w:rsid w:val="00E31EA9"/>
    <w:rsid w:val="00E60593"/>
    <w:rsid w:val="00E77C89"/>
    <w:rsid w:val="00E848AF"/>
    <w:rsid w:val="00EA3512"/>
    <w:rsid w:val="00EB00FF"/>
    <w:rsid w:val="00EB6872"/>
    <w:rsid w:val="00EC5342"/>
    <w:rsid w:val="00ED23D8"/>
    <w:rsid w:val="00ED4604"/>
    <w:rsid w:val="00ED5BBC"/>
    <w:rsid w:val="00ED73B8"/>
    <w:rsid w:val="00EF61C9"/>
    <w:rsid w:val="00F23CC5"/>
    <w:rsid w:val="00F24D94"/>
    <w:rsid w:val="00F2777A"/>
    <w:rsid w:val="00F4268D"/>
    <w:rsid w:val="00F575EA"/>
    <w:rsid w:val="00F63C71"/>
    <w:rsid w:val="00F81F51"/>
    <w:rsid w:val="00F971EE"/>
    <w:rsid w:val="00FD3790"/>
    <w:rsid w:val="00FE1361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06F6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3D33CB"/>
    <w:rPr>
      <w:rFonts w:ascii="Verdana" w:hAnsi="Verdana"/>
      <w:b/>
      <w:bCs/>
      <w:sz w:val="24"/>
      <w:szCs w:val="24"/>
    </w:rPr>
  </w:style>
  <w:style w:type="paragraph" w:styleId="SemEspaamento">
    <w:name w:val="No Spacing"/>
    <w:uiPriority w:val="1"/>
    <w:qFormat/>
    <w:rsid w:val="005443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6F6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56F6A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01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C06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 RELATÓRIO DE IMPACTO ORÇAMENTÁRIO E FINANCEIRO</vt:lpstr>
    </vt:vector>
  </TitlesOfParts>
  <Company>Advogado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 RELATÓRIO DE IMPACTO ORÇAMENTÁRIO E FINANCEIRO</dc:title>
  <dc:creator>Jarbas Lacerda</dc:creator>
  <cp:lastModifiedBy>PMI</cp:lastModifiedBy>
  <cp:revision>7</cp:revision>
  <cp:lastPrinted>2022-01-28T20:13:00Z</cp:lastPrinted>
  <dcterms:created xsi:type="dcterms:W3CDTF">2022-01-28T20:09:00Z</dcterms:created>
  <dcterms:modified xsi:type="dcterms:W3CDTF">2022-01-31T19:43:00Z</dcterms:modified>
</cp:coreProperties>
</file>