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241D15" w:rsidRDefault="001872A5" w:rsidP="00415053">
      <w:pPr>
        <w:pStyle w:val="abdu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41D15">
        <w:rPr>
          <w:rFonts w:ascii="Arial" w:hAnsi="Arial" w:cs="Arial"/>
          <w:b/>
          <w:bCs/>
          <w:color w:val="000000"/>
        </w:rPr>
        <w:t xml:space="preserve">Projeto de Lei </w:t>
      </w:r>
      <w:bookmarkStart w:id="0" w:name="_GoBack"/>
      <w:bookmarkEnd w:id="0"/>
      <w:r w:rsidR="00F15935">
        <w:rPr>
          <w:rFonts w:ascii="Arial" w:hAnsi="Arial" w:cs="Arial"/>
          <w:b/>
          <w:bCs/>
          <w:color w:val="000000"/>
        </w:rPr>
        <w:t xml:space="preserve">Complementar </w:t>
      </w:r>
      <w:r w:rsidR="00310842" w:rsidRPr="00241D15">
        <w:rPr>
          <w:rFonts w:ascii="Arial" w:hAnsi="Arial" w:cs="Arial"/>
          <w:b/>
          <w:bCs/>
          <w:color w:val="000000"/>
        </w:rPr>
        <w:t>nº ............., de .......</w:t>
      </w:r>
      <w:r w:rsidRPr="00241D15">
        <w:rPr>
          <w:rFonts w:ascii="Arial" w:hAnsi="Arial" w:cs="Arial"/>
          <w:b/>
          <w:bCs/>
          <w:color w:val="000000"/>
        </w:rPr>
        <w:t xml:space="preserve"> de </w:t>
      </w:r>
      <w:r w:rsidR="00476C36">
        <w:rPr>
          <w:rFonts w:ascii="Arial" w:hAnsi="Arial" w:cs="Arial"/>
          <w:b/>
          <w:bCs/>
          <w:color w:val="000000"/>
        </w:rPr>
        <w:t>maio</w:t>
      </w:r>
      <w:r w:rsidRPr="00241D15">
        <w:rPr>
          <w:rFonts w:ascii="Arial" w:hAnsi="Arial" w:cs="Arial"/>
          <w:b/>
          <w:bCs/>
          <w:color w:val="000000"/>
        </w:rPr>
        <w:t xml:space="preserve"> de 202</w:t>
      </w:r>
      <w:r w:rsidR="00AE74A4" w:rsidRPr="00241D15">
        <w:rPr>
          <w:rFonts w:ascii="Arial" w:hAnsi="Arial" w:cs="Arial"/>
          <w:b/>
          <w:bCs/>
          <w:color w:val="000000"/>
        </w:rPr>
        <w:t>2</w:t>
      </w:r>
      <w:r w:rsidRPr="00241D15">
        <w:rPr>
          <w:rFonts w:ascii="Arial" w:hAnsi="Arial" w:cs="Arial"/>
          <w:b/>
          <w:bCs/>
          <w:color w:val="000000"/>
        </w:rPr>
        <w:t>.</w:t>
      </w:r>
    </w:p>
    <w:p w:rsidR="001872A5" w:rsidRPr="00241D15" w:rsidRDefault="001872A5" w:rsidP="001872A5">
      <w:pPr>
        <w:pStyle w:val="abdul"/>
        <w:spacing w:before="0" w:beforeAutospacing="0" w:after="0" w:afterAutospacing="0"/>
        <w:ind w:firstLine="1418"/>
        <w:jc w:val="right"/>
        <w:rPr>
          <w:rFonts w:ascii="Arial" w:hAnsi="Arial" w:cs="Arial"/>
          <w:b/>
          <w:bCs/>
          <w:color w:val="000000"/>
        </w:rPr>
      </w:pPr>
    </w:p>
    <w:p w:rsidR="00415053" w:rsidRPr="00241D15" w:rsidRDefault="004D7146" w:rsidP="00BB4AF1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Dispõe sobre </w:t>
      </w:r>
      <w:r w:rsidR="005A43EA">
        <w:rPr>
          <w:rFonts w:ascii="Arial" w:hAnsi="Arial" w:cs="Arial"/>
        </w:rPr>
        <w:t>a</w:t>
      </w:r>
      <w:r w:rsidR="000934DB">
        <w:rPr>
          <w:rFonts w:ascii="Arial" w:hAnsi="Arial" w:cs="Arial"/>
        </w:rPr>
        <w:t>lteração da Lei Complementar Municipa</w:t>
      </w:r>
      <w:r w:rsidR="00476C36">
        <w:rPr>
          <w:rFonts w:ascii="Arial" w:hAnsi="Arial" w:cs="Arial"/>
        </w:rPr>
        <w:t>l</w:t>
      </w:r>
      <w:r w:rsidR="000934DB">
        <w:rPr>
          <w:rFonts w:ascii="Arial" w:hAnsi="Arial" w:cs="Arial"/>
        </w:rPr>
        <w:t xml:space="preserve"> nº 64</w:t>
      </w:r>
      <w:r w:rsidR="00476C36">
        <w:rPr>
          <w:rFonts w:ascii="Arial" w:hAnsi="Arial" w:cs="Arial"/>
        </w:rPr>
        <w:t>,</w:t>
      </w:r>
      <w:r w:rsidR="000934DB">
        <w:rPr>
          <w:rFonts w:ascii="Arial" w:hAnsi="Arial" w:cs="Arial"/>
        </w:rPr>
        <w:t xml:space="preserve"> de 26 de dezembro de 2002, </w:t>
      </w:r>
      <w:r w:rsidR="002B27B0" w:rsidRPr="00241D15">
        <w:rPr>
          <w:rFonts w:ascii="Arial" w:hAnsi="Arial" w:cs="Arial"/>
        </w:rPr>
        <w:t>e dá outras providências.</w:t>
      </w:r>
    </w:p>
    <w:p w:rsidR="0090666D" w:rsidRPr="00241D15" w:rsidRDefault="0090666D" w:rsidP="0090666D">
      <w:pPr>
        <w:pStyle w:val="abdu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0666D" w:rsidRDefault="00490DD6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0666D" w:rsidRPr="00241D15"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, PREFEITO MUNICIPAL DE ITAQUAQUECETUBA, usando das atribuições que lhe são conferidas por Lei, e com base no Processo Administrativo</w:t>
      </w:r>
      <w:r w:rsidR="00476C36">
        <w:rPr>
          <w:rFonts w:ascii="Arial" w:eastAsia="Times New Roman" w:hAnsi="Arial" w:cs="Arial"/>
          <w:sz w:val="24"/>
          <w:szCs w:val="24"/>
          <w:lang w:eastAsia="pt-BR"/>
        </w:rPr>
        <w:t xml:space="preserve"> nº 4.966/2022</w:t>
      </w:r>
      <w:r w:rsidRPr="00241D1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27DC6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faço saber que a Câmara Municipal decret</w:t>
      </w:r>
      <w:r w:rsidR="001872A5" w:rsidRPr="00241D1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</w:t>
      </w:r>
      <w:r w:rsidR="005A43EA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ei</w:t>
      </w:r>
      <w:r w:rsidR="005A43EA">
        <w:rPr>
          <w:rFonts w:ascii="Arial" w:eastAsia="Times New Roman" w:hAnsi="Arial" w:cs="Arial"/>
          <w:sz w:val="24"/>
          <w:szCs w:val="24"/>
          <w:lang w:eastAsia="pt-BR"/>
        </w:rPr>
        <w:t xml:space="preserve"> Complementar</w:t>
      </w:r>
      <w:r w:rsidR="0090666D" w:rsidRPr="00241D1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B67DD" w:rsidRPr="00241D15" w:rsidRDefault="008B67DD" w:rsidP="001872A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34DB" w:rsidRDefault="004D714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  <w:t xml:space="preserve">Art. 1º. </w:t>
      </w:r>
      <w:r w:rsidR="00476C3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artigo 6º da </w:t>
      </w:r>
      <w:r w:rsidR="000934D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Complementar Municipal nº 64, de 26 de dezembro de 2002,</w:t>
      </w:r>
      <w:r w:rsidR="00476C3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passa a contar com um Parágrafo único, com a seguinte redação:</w:t>
      </w:r>
    </w:p>
    <w:p w:rsidR="00476C36" w:rsidRPr="006110C7" w:rsidRDefault="00476C3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“</w:t>
      </w:r>
      <w:r w:rsidR="006110C7"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Art. 6º ...</w:t>
      </w:r>
    </w:p>
    <w:p w:rsidR="006110C7" w:rsidRPr="006110C7" w:rsidRDefault="006110C7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</w:pP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ab/>
        <w:t>(...)</w:t>
      </w:r>
    </w:p>
    <w:p w:rsidR="00476C36" w:rsidRPr="006110C7" w:rsidRDefault="00476C36" w:rsidP="00476C36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 xml:space="preserve">Parágrafo único. </w:t>
      </w:r>
      <w:r w:rsidRPr="006110C7">
        <w:rPr>
          <w:rFonts w:ascii="Arial" w:hAnsi="Arial" w:cs="Arial"/>
          <w:b/>
          <w:i/>
          <w:sz w:val="24"/>
          <w:szCs w:val="24"/>
        </w:rPr>
        <w:t>O cargo público não é acessível para a pessoa condenada, com decisão transitada em julgado e até comprovada a sua reabilitação criminal, por crimes tipificados na Lei nº 11.340, de 07 de agosto de 2006 e alterações (Lei Maria da Penha) e na Lei nº 13.104, de 09 de março de 2015</w:t>
      </w:r>
      <w:r w:rsidR="00A955B7">
        <w:rPr>
          <w:rFonts w:ascii="Arial" w:hAnsi="Arial" w:cs="Arial"/>
          <w:b/>
          <w:i/>
          <w:sz w:val="24"/>
          <w:szCs w:val="24"/>
        </w:rPr>
        <w:t xml:space="preserve"> e alterações</w:t>
      </w:r>
      <w:r w:rsidRPr="006110C7">
        <w:rPr>
          <w:rFonts w:ascii="Arial" w:hAnsi="Arial" w:cs="Arial"/>
          <w:b/>
          <w:i/>
          <w:sz w:val="24"/>
          <w:szCs w:val="24"/>
        </w:rPr>
        <w:t xml:space="preserve"> (Lei do Feminicídio).”</w:t>
      </w:r>
    </w:p>
    <w:p w:rsidR="00476C36" w:rsidRPr="00476C36" w:rsidRDefault="00476C36" w:rsidP="003518FC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0934DB" w:rsidRDefault="00476C36" w:rsidP="000934DB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ab/>
      </w:r>
      <w:r w:rsidR="00093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2º. </w:t>
      </w:r>
      <w:r w:rsidR="006110C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artigo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163 da </w:t>
      </w:r>
      <w:r w:rsidR="000934D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Lei Complementar Municipal nº 64, de 26 de dezembro de 2002, </w:t>
      </w:r>
      <w:r w:rsidR="006110C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passa a contar com um inciso IX, c</w:t>
      </w:r>
      <w:r w:rsidR="00F7424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om a </w:t>
      </w:r>
      <w:r w:rsidR="000934D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seguinte redação:</w:t>
      </w:r>
    </w:p>
    <w:p w:rsidR="00F74241" w:rsidRPr="006110C7" w:rsidRDefault="006110C7" w:rsidP="00F74241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</w:pP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“Art. 163</w:t>
      </w:r>
      <w:r w:rsidR="00F74241"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...</w:t>
      </w:r>
    </w:p>
    <w:p w:rsidR="00F74241" w:rsidRPr="006110C7" w:rsidRDefault="00F74241" w:rsidP="00F74241">
      <w:pPr>
        <w:tabs>
          <w:tab w:val="left" w:pos="-1843"/>
        </w:tabs>
        <w:spacing w:before="120" w:after="120" w:line="240" w:lineRule="auto"/>
        <w:ind w:left="708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</w:pP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(...)</w:t>
      </w:r>
    </w:p>
    <w:p w:rsidR="006110C7" w:rsidRPr="006110C7" w:rsidRDefault="006110C7" w:rsidP="006110C7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6110C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 xml:space="preserve">IX – condenação, com decisão transitada em julgado, </w:t>
      </w:r>
      <w:r w:rsidRPr="006110C7">
        <w:rPr>
          <w:rFonts w:ascii="Arial" w:hAnsi="Arial" w:cs="Arial"/>
          <w:b/>
          <w:i/>
          <w:sz w:val="24"/>
          <w:szCs w:val="24"/>
        </w:rPr>
        <w:t xml:space="preserve">por crimes tipificados na Lei nº 11.340, de 07 de agosto de 2006 e alterações (Lei Maria da Penha) e na Lei nº 13.104, de 09 de março de 2015 </w:t>
      </w:r>
      <w:r w:rsidR="00A955B7">
        <w:rPr>
          <w:rFonts w:ascii="Arial" w:hAnsi="Arial" w:cs="Arial"/>
          <w:b/>
          <w:i/>
          <w:sz w:val="24"/>
          <w:szCs w:val="24"/>
        </w:rPr>
        <w:t xml:space="preserve">e alterações </w:t>
      </w:r>
      <w:r w:rsidRPr="006110C7">
        <w:rPr>
          <w:rFonts w:ascii="Arial" w:hAnsi="Arial" w:cs="Arial"/>
          <w:b/>
          <w:i/>
          <w:sz w:val="24"/>
          <w:szCs w:val="24"/>
        </w:rPr>
        <w:t>(Lei do Feminicídio).”</w:t>
      </w:r>
    </w:p>
    <w:p w:rsidR="00B034F8" w:rsidRDefault="009E46AD" w:rsidP="00B034F8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B03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 w:rsidR="007C2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="00B03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º. </w:t>
      </w:r>
      <w:r w:rsidR="008572C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disposto no Parágrafo único, do artigo 6º d</w:t>
      </w:r>
      <w:r w:rsidR="00B034F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Lei Complementar Municipal nº 64, de 26 de dezembro de 2002,</w:t>
      </w:r>
      <w:r w:rsidR="008572C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deverá constar dos editais de concurso público, de processo seletivo simplificado, inclusive, dos de </w:t>
      </w:r>
      <w:r w:rsidR="00A955B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estagiários, sendo condição para a posse a apresentação de certidão criminal, certidão de execução criminal e decisão quanto à reabilitação criminal, transitada em julgado.</w:t>
      </w:r>
    </w:p>
    <w:p w:rsidR="009E46AD" w:rsidRDefault="00A955B7" w:rsidP="007C2DC1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</w:p>
    <w:p w:rsidR="00104D67" w:rsidRDefault="007C2DC1" w:rsidP="00104D67">
      <w:pPr>
        <w:tabs>
          <w:tab w:val="left" w:pos="-1843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ab/>
        <w:t xml:space="preserve">Art. 4º. </w:t>
      </w:r>
      <w:r w:rsid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</w:t>
      </w:r>
      <w:r w:rsidR="00811A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servidor do quadro efetivo, </w:t>
      </w:r>
      <w:r w:rsidR="00104D67" w:rsidRP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comissionado ou mesmo, o estagiário que, a partir da publicação desta </w:t>
      </w:r>
      <w:r w:rsid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</w:t>
      </w:r>
      <w:r w:rsidR="00104D67" w:rsidRP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ei, cometer quaisquer dos crimes tipificados</w:t>
      </w:r>
      <w:r w:rsidR="00104D67" w:rsidRPr="00104D67">
        <w:rPr>
          <w:rFonts w:ascii="Arial" w:hAnsi="Arial" w:cs="Arial"/>
          <w:sz w:val="24"/>
          <w:szCs w:val="24"/>
        </w:rPr>
        <w:t xml:space="preserve"> na Lei nº 11.340, de 07 de agosto de 2006 e alterações (Lei Maria da Penha) e na Lei nº 13.104, de 09 de março de 2015 e alterações (Lei do Feminicídio</w:t>
      </w:r>
      <w:r w:rsidR="00811A3B">
        <w:rPr>
          <w:rFonts w:ascii="Arial" w:hAnsi="Arial" w:cs="Arial"/>
          <w:sz w:val="24"/>
          <w:szCs w:val="24"/>
        </w:rPr>
        <w:t>) e for condenado com decisão transitada em julgado, será submetido</w:t>
      </w:r>
      <w:r w:rsidR="00104D67">
        <w:rPr>
          <w:rFonts w:ascii="Arial" w:hAnsi="Arial" w:cs="Arial"/>
          <w:sz w:val="24"/>
          <w:szCs w:val="24"/>
        </w:rPr>
        <w:t xml:space="preserve">, de ofício, a </w:t>
      </w:r>
      <w:r w:rsid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processo administrativo disciplinar, </w:t>
      </w:r>
      <w:r w:rsidR="00811A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 os fins d</w:t>
      </w:r>
      <w:r w:rsidR="00930A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aplicação do disposto n</w:t>
      </w:r>
      <w:r w:rsidR="00811A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inciso IX, do artigo 163 da </w:t>
      </w:r>
      <w:r w:rsidR="00104D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Complementar Municipal nº 64, de 26 de dezembro de 2022.</w:t>
      </w:r>
    </w:p>
    <w:p w:rsidR="00A74C6D" w:rsidRDefault="00A74C6D" w:rsidP="005A43EA">
      <w:pPr>
        <w:tabs>
          <w:tab w:val="left" w:pos="-1843"/>
        </w:tabs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</w:p>
    <w:p w:rsidR="00F960D6" w:rsidRDefault="00485235" w:rsidP="005A43EA">
      <w:pPr>
        <w:tabs>
          <w:tab w:val="left" w:pos="-1843"/>
        </w:tabs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ED56E9">
        <w:rPr>
          <w:rFonts w:ascii="Arial" w:hAnsi="Arial" w:cs="Arial"/>
          <w:b/>
          <w:sz w:val="24"/>
          <w:szCs w:val="24"/>
        </w:rPr>
        <w:t>5º.</w:t>
      </w:r>
      <w:r w:rsidR="00941471">
        <w:rPr>
          <w:rFonts w:ascii="Arial" w:hAnsi="Arial" w:cs="Arial"/>
          <w:b/>
          <w:sz w:val="24"/>
          <w:szCs w:val="24"/>
        </w:rPr>
        <w:t xml:space="preserve"> </w:t>
      </w:r>
      <w:r w:rsidR="006155C6" w:rsidRPr="00241D15">
        <w:rPr>
          <w:rFonts w:ascii="Arial" w:hAnsi="Arial" w:cs="Arial"/>
          <w:color w:val="000000"/>
          <w:sz w:val="24"/>
          <w:szCs w:val="24"/>
        </w:rPr>
        <w:t>As de</w:t>
      </w:r>
      <w:r w:rsidR="00F960D6" w:rsidRPr="00241D15">
        <w:rPr>
          <w:rFonts w:ascii="Arial" w:hAnsi="Arial" w:cs="Arial"/>
          <w:color w:val="000000"/>
          <w:sz w:val="24"/>
          <w:szCs w:val="24"/>
        </w:rPr>
        <w:t xml:space="preserve">spesas com a execução desta Lei </w:t>
      </w:r>
      <w:r w:rsidR="005A43EA">
        <w:rPr>
          <w:rFonts w:ascii="Arial" w:hAnsi="Arial" w:cs="Arial"/>
          <w:color w:val="000000"/>
          <w:sz w:val="24"/>
          <w:szCs w:val="24"/>
        </w:rPr>
        <w:t xml:space="preserve">Complementar </w:t>
      </w:r>
      <w:r w:rsidR="00F960D6" w:rsidRPr="00241D15">
        <w:rPr>
          <w:rFonts w:ascii="Arial" w:hAnsi="Arial" w:cs="Arial"/>
          <w:color w:val="000000"/>
          <w:sz w:val="24"/>
          <w:szCs w:val="24"/>
        </w:rPr>
        <w:t>correrão por conta de dotações próprias do orçamento, suplementadas em caso de necessidade.</w:t>
      </w:r>
    </w:p>
    <w:p w:rsidR="008B67DD" w:rsidRPr="00241D15" w:rsidRDefault="008B67DD" w:rsidP="00EA10F0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152" w:rsidRDefault="003C4152" w:rsidP="00EA10F0">
      <w:pPr>
        <w:pStyle w:val="abdul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b/>
          <w:bCs/>
          <w:color w:val="000000"/>
        </w:rPr>
        <w:t> </w:t>
      </w:r>
      <w:r w:rsidR="0090666D" w:rsidRPr="00241D15">
        <w:rPr>
          <w:rFonts w:ascii="Arial" w:hAnsi="Arial" w:cs="Arial"/>
          <w:b/>
          <w:bCs/>
          <w:color w:val="000000"/>
        </w:rPr>
        <w:t xml:space="preserve"> </w:t>
      </w:r>
      <w:r w:rsidR="0090666D" w:rsidRPr="00241D15">
        <w:rPr>
          <w:rFonts w:ascii="Arial" w:hAnsi="Arial" w:cs="Arial"/>
          <w:b/>
          <w:bCs/>
          <w:color w:val="000000"/>
        </w:rPr>
        <w:tab/>
      </w:r>
      <w:r w:rsidRPr="00241D15">
        <w:rPr>
          <w:rFonts w:ascii="Arial" w:hAnsi="Arial" w:cs="Arial"/>
          <w:b/>
          <w:bCs/>
          <w:color w:val="000000"/>
        </w:rPr>
        <w:t xml:space="preserve">Art. </w:t>
      </w:r>
      <w:r w:rsidR="00ED56E9">
        <w:rPr>
          <w:rFonts w:ascii="Arial" w:hAnsi="Arial" w:cs="Arial"/>
          <w:b/>
          <w:bCs/>
          <w:color w:val="000000"/>
        </w:rPr>
        <w:t>6º</w:t>
      </w:r>
      <w:r w:rsidR="00F960D6" w:rsidRPr="00241D15">
        <w:rPr>
          <w:rFonts w:ascii="Arial" w:hAnsi="Arial" w:cs="Arial"/>
          <w:b/>
          <w:bCs/>
          <w:color w:val="000000"/>
        </w:rPr>
        <w:t>.</w:t>
      </w:r>
      <w:r w:rsidRPr="00241D15">
        <w:rPr>
          <w:rFonts w:ascii="Arial" w:hAnsi="Arial" w:cs="Arial"/>
          <w:color w:val="000000"/>
        </w:rPr>
        <w:t xml:space="preserve"> Esta Lei </w:t>
      </w:r>
      <w:r w:rsidR="005A43EA">
        <w:rPr>
          <w:rFonts w:ascii="Arial" w:hAnsi="Arial" w:cs="Arial"/>
          <w:color w:val="000000"/>
        </w:rPr>
        <w:t xml:space="preserve">Complementar </w:t>
      </w:r>
      <w:r w:rsidRPr="00241D15">
        <w:rPr>
          <w:rFonts w:ascii="Arial" w:hAnsi="Arial" w:cs="Arial"/>
          <w:color w:val="000000"/>
        </w:rPr>
        <w:t xml:space="preserve">entra em </w:t>
      </w:r>
      <w:r w:rsidR="006155C6" w:rsidRPr="00241D15">
        <w:rPr>
          <w:rFonts w:ascii="Arial" w:hAnsi="Arial" w:cs="Arial"/>
          <w:color w:val="000000"/>
        </w:rPr>
        <w:t>vigor na data da sua publicação</w:t>
      </w:r>
      <w:r w:rsidR="00941471">
        <w:rPr>
          <w:rFonts w:ascii="Arial" w:hAnsi="Arial" w:cs="Arial"/>
          <w:color w:val="000000"/>
        </w:rPr>
        <w:t>.</w:t>
      </w:r>
    </w:p>
    <w:p w:rsidR="00ED56E9" w:rsidRPr="00241D15" w:rsidRDefault="00ED56E9" w:rsidP="00D55A7C">
      <w:pPr>
        <w:tabs>
          <w:tab w:val="left" w:pos="-1843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5C6" w:rsidRPr="00E435EE" w:rsidRDefault="006E0428" w:rsidP="00615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5EE">
        <w:rPr>
          <w:rFonts w:ascii="Arial" w:hAnsi="Arial" w:cs="Arial"/>
          <w:b/>
          <w:sz w:val="24"/>
          <w:szCs w:val="24"/>
        </w:rPr>
        <w:t>EDUARDO BOIGUES QUEROZ</w:t>
      </w:r>
    </w:p>
    <w:p w:rsidR="006E0428" w:rsidRPr="00241D15" w:rsidRDefault="006E0428" w:rsidP="006155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hAnsi="Arial" w:cs="Arial"/>
          <w:sz w:val="24"/>
          <w:szCs w:val="24"/>
        </w:rPr>
        <w:t>Prefeito Municipal</w:t>
      </w: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EE" w:rsidRDefault="00E435EE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EE" w:rsidRDefault="00E435EE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EE" w:rsidRDefault="00E435EE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56E9" w:rsidRDefault="00ED56E9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0428" w:rsidRPr="00241D15" w:rsidRDefault="00247C7F" w:rsidP="006E04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6E0428" w:rsidRPr="00241D15">
        <w:rPr>
          <w:rFonts w:ascii="Arial" w:hAnsi="Arial" w:cs="Arial"/>
          <w:b/>
          <w:sz w:val="24"/>
          <w:szCs w:val="24"/>
        </w:rPr>
        <w:t>ENSAGEM</w:t>
      </w:r>
    </w:p>
    <w:p w:rsidR="006E0428" w:rsidRPr="00241D15" w:rsidRDefault="006E0428" w:rsidP="006E04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F04FA" w:rsidRPr="00241D15" w:rsidRDefault="00AF04FA" w:rsidP="00AF04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241D15" w:rsidRDefault="00AF04FA" w:rsidP="00AF04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Excelentíssimo Senhor Vereador Presidente,</w:t>
      </w:r>
    </w:p>
    <w:p w:rsidR="00AF04FA" w:rsidRPr="00241D15" w:rsidRDefault="002A5BE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Senhora Vereadora,</w:t>
      </w:r>
    </w:p>
    <w:p w:rsidR="00AF04FA" w:rsidRPr="00241D15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6C4290" w:rsidRPr="00241D15" w:rsidRDefault="00D55A7C" w:rsidP="005F798D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color w:val="000000"/>
        </w:rPr>
      </w:pPr>
      <w:r w:rsidRPr="00241D15">
        <w:rPr>
          <w:rFonts w:ascii="Arial" w:hAnsi="Arial" w:cs="Arial"/>
          <w:color w:val="000000"/>
        </w:rPr>
        <w:t xml:space="preserve"> </w:t>
      </w:r>
      <w:r w:rsidRPr="00241D15">
        <w:rPr>
          <w:rFonts w:ascii="Arial" w:hAnsi="Arial" w:cs="Arial"/>
          <w:color w:val="000000"/>
        </w:rPr>
        <w:tab/>
      </w:r>
      <w:r w:rsidR="00AF04FA" w:rsidRPr="00241D15">
        <w:rPr>
          <w:rFonts w:ascii="Arial" w:hAnsi="Arial" w:cs="Arial"/>
          <w:b w:val="0"/>
          <w:color w:val="000000"/>
        </w:rPr>
        <w:t>Tenho a honra de encaminhar a Vossas Excelências o incluso projeto de lei que tem por</w:t>
      </w:r>
      <w:r w:rsidR="002A5BEC" w:rsidRPr="00241D15">
        <w:rPr>
          <w:rFonts w:ascii="Arial" w:hAnsi="Arial" w:cs="Arial"/>
          <w:color w:val="000000"/>
        </w:rPr>
        <w:t xml:space="preserve"> ementa:</w:t>
      </w:r>
    </w:p>
    <w:p w:rsidR="00496441" w:rsidRPr="00241D15" w:rsidRDefault="006C4290" w:rsidP="00BF242A">
      <w:pPr>
        <w:pStyle w:val="Recuodecorpodetexto"/>
        <w:pBdr>
          <w:bottom w:val="none" w:sz="0" w:space="0" w:color="auto"/>
        </w:pBdr>
        <w:tabs>
          <w:tab w:val="left" w:pos="5954"/>
        </w:tabs>
        <w:spacing w:before="120" w:after="120"/>
        <w:ind w:left="0"/>
        <w:jc w:val="center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>“</w:t>
      </w:r>
      <w:r w:rsidR="00BF242A">
        <w:rPr>
          <w:rFonts w:ascii="Arial" w:hAnsi="Arial" w:cs="Arial"/>
        </w:rPr>
        <w:t xml:space="preserve">Dispõe sobre alteração da Lei Complementar Municipal nº 64, de 26 de dezembro de 2002, </w:t>
      </w:r>
      <w:r w:rsidR="00BF242A" w:rsidRPr="00241D15">
        <w:rPr>
          <w:rFonts w:ascii="Arial" w:hAnsi="Arial" w:cs="Arial"/>
        </w:rPr>
        <w:t>e dá outras providências.</w:t>
      </w:r>
      <w:r w:rsidR="00496441">
        <w:rPr>
          <w:rFonts w:ascii="Arial" w:hAnsi="Arial" w:cs="Arial"/>
        </w:rPr>
        <w:t>”</w:t>
      </w:r>
    </w:p>
    <w:p w:rsidR="007723DB" w:rsidRDefault="00496441" w:rsidP="00496441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</w:rPr>
      </w:pPr>
      <w:r w:rsidRPr="00241D15">
        <w:rPr>
          <w:rFonts w:ascii="Arial" w:hAnsi="Arial" w:cs="Arial"/>
        </w:rPr>
        <w:t xml:space="preserve"> </w:t>
      </w:r>
      <w:r w:rsidR="007723DB"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>A iniciativa tem</w:t>
      </w:r>
      <w:r w:rsidR="001C64FF">
        <w:rPr>
          <w:rFonts w:ascii="Arial" w:hAnsi="Arial" w:cs="Arial"/>
          <w:b w:val="0"/>
        </w:rPr>
        <w:t xml:space="preserve"> por</w:t>
      </w:r>
      <w:r>
        <w:rPr>
          <w:rFonts w:ascii="Arial" w:hAnsi="Arial" w:cs="Arial"/>
          <w:b w:val="0"/>
        </w:rPr>
        <w:t xml:space="preserve"> base</w:t>
      </w:r>
      <w:r w:rsidR="001C64FF">
        <w:rPr>
          <w:rFonts w:ascii="Arial" w:hAnsi="Arial" w:cs="Arial"/>
          <w:b w:val="0"/>
        </w:rPr>
        <w:t xml:space="preserve"> </w:t>
      </w:r>
      <w:r w:rsidR="007723DB">
        <w:rPr>
          <w:rFonts w:ascii="Arial" w:hAnsi="Arial" w:cs="Arial"/>
          <w:b w:val="0"/>
        </w:rPr>
        <w:t>ESTABELECER UM DURO GOLPE NAQUELES QUE PRATICAM VIOLÊNCIA CONTRA A MULHER, extirpando dos quadros da PMI referidas pessoas, até que sejam recuperadas, vale dizer, reabilitadas.</w:t>
      </w:r>
    </w:p>
    <w:p w:rsid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O crescimento da violência contra a mulher, em especial no ambiente doméstico</w:t>
      </w:r>
      <w:r>
        <w:rPr>
          <w:rFonts w:ascii="Arial" w:hAnsi="Arial" w:cs="Arial"/>
          <w:sz w:val="24"/>
          <w:szCs w:val="24"/>
        </w:rPr>
        <w:t>,</w:t>
      </w:r>
      <w:r w:rsidRPr="007723DB">
        <w:rPr>
          <w:rFonts w:ascii="Arial" w:hAnsi="Arial" w:cs="Arial"/>
          <w:sz w:val="24"/>
          <w:szCs w:val="24"/>
        </w:rPr>
        <w:t xml:space="preserve"> aumentou exponencialmente no</w:t>
      </w:r>
      <w:r>
        <w:rPr>
          <w:rFonts w:ascii="Arial" w:hAnsi="Arial" w:cs="Arial"/>
          <w:sz w:val="24"/>
          <w:szCs w:val="24"/>
        </w:rPr>
        <w:t>s</w:t>
      </w:r>
      <w:r w:rsidRPr="007723DB">
        <w:rPr>
          <w:rFonts w:ascii="Arial" w:hAnsi="Arial" w:cs="Arial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>s</w:t>
      </w:r>
      <w:r w:rsidRPr="007723DB">
        <w:rPr>
          <w:rFonts w:ascii="Arial" w:hAnsi="Arial" w:cs="Arial"/>
          <w:sz w:val="24"/>
          <w:szCs w:val="24"/>
        </w:rPr>
        <w:t xml:space="preserve"> de 2020 e 2021. Estes dados foram amplamente difundidos por diversos veículos de imprensa que</w:t>
      </w:r>
      <w:r>
        <w:rPr>
          <w:rFonts w:ascii="Arial" w:hAnsi="Arial" w:cs="Arial"/>
          <w:sz w:val="24"/>
          <w:szCs w:val="24"/>
        </w:rPr>
        <w:t>,</w:t>
      </w:r>
      <w:r w:rsidRPr="007723DB">
        <w:rPr>
          <w:rFonts w:ascii="Arial" w:hAnsi="Arial" w:cs="Arial"/>
          <w:sz w:val="24"/>
          <w:szCs w:val="24"/>
        </w:rPr>
        <w:t xml:space="preserve"> inclusive</w:t>
      </w:r>
      <w:r>
        <w:rPr>
          <w:rFonts w:ascii="Arial" w:hAnsi="Arial" w:cs="Arial"/>
          <w:sz w:val="24"/>
          <w:szCs w:val="24"/>
        </w:rPr>
        <w:t>,</w:t>
      </w:r>
      <w:r w:rsidRPr="007723DB">
        <w:rPr>
          <w:rFonts w:ascii="Arial" w:hAnsi="Arial" w:cs="Arial"/>
          <w:sz w:val="24"/>
          <w:szCs w:val="24"/>
        </w:rPr>
        <w:t xml:space="preserve"> demonstram a relação direta entre o isolamento devido à pandemia e o aumento de casos de violência. 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Evidentemente, tal fato causou um retrocesso nas políticas de combate à esse crime horroroso, a exigir uma postura doméstica, como contribuição na diminuição dele.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Neste sentido, o ordenamento jurídico pátrio prevê diversas regras que impedem nomeação de pessoas condenadas ao provimento de cargos públicos efetivos e/ou comissionados.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O presente projeto tem como objetivo reforçar estes parâmetros, trazendo assim mecanismos mais efetivos de moralidade e probidade administrativa no âmbito da Administração Pública e no exercício das funções públicas.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Importante destacar que a Lei n°11.340/2006 (Maria da Penha) determina que é considerad</w:t>
      </w:r>
      <w:r>
        <w:rPr>
          <w:rFonts w:ascii="Arial" w:hAnsi="Arial" w:cs="Arial"/>
          <w:sz w:val="24"/>
          <w:szCs w:val="24"/>
        </w:rPr>
        <w:t>a</w:t>
      </w:r>
      <w:r w:rsidRPr="007723DB">
        <w:rPr>
          <w:rFonts w:ascii="Arial" w:hAnsi="Arial" w:cs="Arial"/>
          <w:sz w:val="24"/>
          <w:szCs w:val="24"/>
        </w:rPr>
        <w:t xml:space="preserve"> violência contra a mulher qualquer conduta, ação ou omissão de discriminação, agressão ou coerção que cause dano, morte constrangimento, limitação, sofrimento físico, sexual, moral, psicológico, social político ou perda patrimonial (art. 5º e7º).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 xml:space="preserve">A legislação supracitada determina ainda que como objetivo a proteção da mulher é a Lei 13.104/2015 (Lei do Feminicídio). A legislação trouxe modificações no Código Penal, incluindo o homicídio de mulheres, por </w:t>
      </w:r>
      <w:r w:rsidRPr="007723DB">
        <w:rPr>
          <w:rFonts w:ascii="Arial" w:hAnsi="Arial" w:cs="Arial"/>
          <w:sz w:val="24"/>
          <w:szCs w:val="24"/>
        </w:rPr>
        <w:lastRenderedPageBreak/>
        <w:t xml:space="preserve">motivação menosprezo ou discriminação a mulher ou por razões de violência doméstica, no rol dos crimes hediondos, o que sugere tratamento mais severo perante a Justiça.  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A Convenção Interamericana de 1994, para prevenir, punir e erradicar a violência contra a mulher é outro mecanismo que traz diversos parâmetros e medidas de proteção. Convenção essa que foi promulgada através do Decreto nº1.973/1996.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23DB">
        <w:rPr>
          <w:rFonts w:ascii="Arial" w:hAnsi="Arial" w:cs="Arial"/>
          <w:sz w:val="24"/>
          <w:szCs w:val="24"/>
        </w:rPr>
        <w:t>Assim o presente projeto tem por finalidade a criação de medidas que visam coibir atos de violência e crimes de contra mulher, através da impossibilidade do autor, que cometeu a violência, em concorrer ou assumir cargos públicos.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sz w:val="24"/>
          <w:szCs w:val="24"/>
        </w:rPr>
        <w:t xml:space="preserve">O projeto ainda celebra princípios constitucionais que possuem aplicabilidade imediata conforme determina o art. 5º </w:t>
      </w:r>
      <w:r w:rsidRPr="007723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§ 1º da Constituição Federal de 1988 e, por conseguinte, protege mulheres de violações de direitos humanos. 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color w:val="202124"/>
          <w:sz w:val="24"/>
          <w:szCs w:val="24"/>
          <w:shd w:val="clear" w:color="auto" w:fill="FFFFFF"/>
        </w:rPr>
        <w:t>No que diz a respeito a eventual questionamento em relação a constitucionalidade do presente projeto de lei, sob o argumento de ser matéria de competência exclusiva do chefe do executivo, é importante frisar que tal indagação foi objeto de recente julgamento (07/04/2021), e grau de recurso extraordinário, o Ministro Relator Edson Fachin assentou que:</w:t>
      </w:r>
    </w:p>
    <w:p w:rsidR="007723DB" w:rsidRPr="007723DB" w:rsidRDefault="007723DB" w:rsidP="007723DB">
      <w:pPr>
        <w:spacing w:line="240" w:lineRule="auto"/>
        <w:ind w:left="1276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 xml:space="preserve">“Na verdade, ao vedar a nomeação de agentes públicos no âmbito da Administração Direta e Indireta do munícipio, condenados nos termos da Lei federal nº 11.340/2006, a norma impugnada impôs regra geral de moralidade administrativa, visando dar concretude aos princípios elencado no caput do art. 37 da Constituição Federal, cuja aplicação independem de lei em sentido estrito e não se submetem a uma interpretação restritiva. Destaco que quando do julgamento do RE 570.392, Rel. Ministra Carmen Lúcia, Pleno, DJe 18.02.2015, Tema 29 da Repercussão Geral, o Tribunal assentou a tese de que não privativa do Chefe do Poder Executivo a competência para a iniciativa legislativa de lei sobre nepotismo na Administração Pública: leis com esse conteúdo normativo dão concretude aos princípios da moralidade e da impessoalidade do art. 37, caput, da Constituição da República, que, ademais, têm aplicabilidade imediata, ou seja, independente de lei. </w:t>
      </w:r>
    </w:p>
    <w:p w:rsidR="007723DB" w:rsidRPr="007723DB" w:rsidRDefault="007723DB" w:rsidP="007723DB">
      <w:pPr>
        <w:spacing w:line="240" w:lineRule="auto"/>
        <w:ind w:left="1276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Impende ressaltar, ante a inquestionável procedência de suas observações, o voto proferido pela Ministra Relatora naquela ocasião, em tudo aplicável ao caso em análise:</w:t>
      </w:r>
    </w:p>
    <w:p w:rsidR="007723DB" w:rsidRPr="007723DB" w:rsidRDefault="007723DB" w:rsidP="007723DB">
      <w:pPr>
        <w:spacing w:line="240" w:lineRule="auto"/>
        <w:ind w:left="1276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 xml:space="preserve">Se os princípios do art. 37, caput, da Constituição da República sequer precisam de lei para serem obrigatoriamente observados, </w:t>
      </w: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lastRenderedPageBreak/>
        <w:t xml:space="preserve">não há vícios de iniciativa legislativa em norma editada com o objetivo de dar eficácia específica àqueles princípios e estabelecer casos nos quais, inquestionavelmente, configurariam comportamentos administrativamente imorais ou não- isonômicos. </w:t>
      </w:r>
    </w:p>
    <w:p w:rsidR="007723DB" w:rsidRPr="007723DB" w:rsidRDefault="007723DB" w:rsidP="007723DB">
      <w:pPr>
        <w:spacing w:line="240" w:lineRule="auto"/>
        <w:ind w:left="1276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 xml:space="preserve">Noutras palavras, a regra relativa a iniciativa legislativa aplica-se aos casos em que a obrigação imposta por lei não deriva automaticamente da própria Constituição. Tal interpretação deve ainda ser corroborada pelo disposto no art. 5º, § e 1º da CRFB, segundo o qual os direitos e garantias previstas na Constituição têm aplicação imediata.  </w:t>
      </w:r>
    </w:p>
    <w:p w:rsidR="007723DB" w:rsidRPr="007723DB" w:rsidRDefault="007723DB" w:rsidP="007723DB">
      <w:pPr>
        <w:spacing w:line="240" w:lineRule="auto"/>
        <w:ind w:left="1276"/>
        <w:jc w:val="both"/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i/>
          <w:color w:val="202124"/>
          <w:sz w:val="24"/>
          <w:szCs w:val="24"/>
          <w:shd w:val="clear" w:color="auto" w:fill="FFFFFF"/>
        </w:rPr>
        <w:t>Nestes termos, tratando-se o diploma impugnado na origem de matéria decorrente diretamente do texto constitucional, não subsiste o vício de iniciativa legislativa sustentado pelo Tribunal o quo.”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color w:val="202124"/>
          <w:sz w:val="24"/>
          <w:szCs w:val="24"/>
          <w:shd w:val="clear" w:color="auto" w:fill="FFFFFF"/>
        </w:rPr>
        <w:t>Portanto, pacificada está a questão, no que diz respeito a competência da matéria para a propositura do presente projeto.</w:t>
      </w:r>
    </w:p>
    <w:p w:rsidR="007723DB" w:rsidRPr="007723DB" w:rsidRDefault="007723DB" w:rsidP="007723DB">
      <w:pPr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723DB">
        <w:rPr>
          <w:rFonts w:ascii="Arial" w:hAnsi="Arial" w:cs="Arial"/>
          <w:color w:val="202124"/>
          <w:sz w:val="24"/>
          <w:szCs w:val="24"/>
          <w:shd w:val="clear" w:color="auto" w:fill="FFFFFF"/>
        </w:rPr>
        <w:t>Diante do exposto acima, na certeza da importância do assunto abordado no presente Projeto de Lei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Complementar, após a análise da Nobre Vereadora e dos </w:t>
      </w:r>
      <w:r w:rsidRPr="007723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Vereadores e das Comissões competentes, é que essa propositura reúne condições para ser aprovada. </w:t>
      </w:r>
    </w:p>
    <w:p w:rsidR="00AF04FA" w:rsidRPr="00241D15" w:rsidRDefault="007723DB" w:rsidP="006155C6">
      <w:pPr>
        <w:pStyle w:val="Recuodecorpodetexto"/>
        <w:pBdr>
          <w:bottom w:val="none" w:sz="0" w:space="0" w:color="auto"/>
        </w:pBdr>
        <w:spacing w:before="120" w:after="120"/>
        <w:ind w:left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ab/>
      </w:r>
      <w:r w:rsidR="00AF04FA" w:rsidRPr="00241D15">
        <w:rPr>
          <w:rFonts w:ascii="Arial" w:hAnsi="Arial" w:cs="Arial"/>
          <w:b w:val="0"/>
          <w:color w:val="000000"/>
        </w:rPr>
        <w:t>São estes os motivos, Excelentíssima Vereadora, Excelentíssimos Vereadores, pelos quais rogo-lhes ligeira apreciação e aprovação.</w:t>
      </w:r>
    </w:p>
    <w:p w:rsidR="006155C6" w:rsidRPr="00241D15" w:rsidRDefault="00AF04FA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Contando com o costumeiro empenho, cumprimento-os.</w:t>
      </w:r>
    </w:p>
    <w:p w:rsidR="00E45B5C" w:rsidRPr="00241D15" w:rsidRDefault="00E45B5C" w:rsidP="00AF04F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Itaquaquecetuba, </w:t>
      </w:r>
      <w:r w:rsidR="007723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E435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D55A7C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7723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 w:rsidR="00D55A7C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F04FA" w:rsidRPr="00241D15" w:rsidRDefault="00AF04FA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B5C" w:rsidRPr="00241D15" w:rsidRDefault="00E45B5C" w:rsidP="007421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04FA" w:rsidRPr="00E435EE" w:rsidRDefault="00880DA9" w:rsidP="007421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435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EDUARDO BOIGUES QUEROZ</w:t>
      </w:r>
    </w:p>
    <w:p w:rsidR="006E0428" w:rsidRPr="00241D15" w:rsidRDefault="00AF04FA" w:rsidP="00606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  <w:r w:rsidR="00880DA9" w:rsidRPr="00241D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</w:p>
    <w:sectPr w:rsidR="006E0428" w:rsidRPr="00241D15" w:rsidSect="00606F23">
      <w:headerReference w:type="default" r:id="rId7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05" w:rsidRDefault="00DC0205" w:rsidP="0090666D">
      <w:pPr>
        <w:spacing w:after="0" w:line="240" w:lineRule="auto"/>
      </w:pPr>
      <w:r>
        <w:separator/>
      </w:r>
    </w:p>
  </w:endnote>
  <w:endnote w:type="continuationSeparator" w:id="0">
    <w:p w:rsidR="00DC0205" w:rsidRDefault="00DC0205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05" w:rsidRDefault="00DC0205" w:rsidP="0090666D">
      <w:pPr>
        <w:spacing w:after="0" w:line="240" w:lineRule="auto"/>
      </w:pPr>
      <w:r>
        <w:separator/>
      </w:r>
    </w:p>
  </w:footnote>
  <w:footnote w:type="continuationSeparator" w:id="0">
    <w:p w:rsidR="00DC0205" w:rsidRDefault="00DC0205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278DE"/>
    <w:rsid w:val="00061189"/>
    <w:rsid w:val="00063CF8"/>
    <w:rsid w:val="00086D81"/>
    <w:rsid w:val="00092E16"/>
    <w:rsid w:val="000934DB"/>
    <w:rsid w:val="000D2BA6"/>
    <w:rsid w:val="000F7B78"/>
    <w:rsid w:val="00104D67"/>
    <w:rsid w:val="001404A0"/>
    <w:rsid w:val="001419D2"/>
    <w:rsid w:val="00162138"/>
    <w:rsid w:val="001707A0"/>
    <w:rsid w:val="001872A5"/>
    <w:rsid w:val="001A32FE"/>
    <w:rsid w:val="001C64FF"/>
    <w:rsid w:val="001D5241"/>
    <w:rsid w:val="001E532E"/>
    <w:rsid w:val="00241D15"/>
    <w:rsid w:val="00246C5B"/>
    <w:rsid w:val="00247C7F"/>
    <w:rsid w:val="0025262D"/>
    <w:rsid w:val="002668B5"/>
    <w:rsid w:val="00293AE3"/>
    <w:rsid w:val="00293B7B"/>
    <w:rsid w:val="00293FF5"/>
    <w:rsid w:val="002A5BEC"/>
    <w:rsid w:val="002B27B0"/>
    <w:rsid w:val="002C12B2"/>
    <w:rsid w:val="002D20FA"/>
    <w:rsid w:val="002D2176"/>
    <w:rsid w:val="002D567C"/>
    <w:rsid w:val="002D6187"/>
    <w:rsid w:val="002E25BC"/>
    <w:rsid w:val="002E3FFD"/>
    <w:rsid w:val="002E67FD"/>
    <w:rsid w:val="002E6D31"/>
    <w:rsid w:val="003029E7"/>
    <w:rsid w:val="00304AD2"/>
    <w:rsid w:val="003067D2"/>
    <w:rsid w:val="00310842"/>
    <w:rsid w:val="00335AE8"/>
    <w:rsid w:val="003365F6"/>
    <w:rsid w:val="0033722A"/>
    <w:rsid w:val="00347D57"/>
    <w:rsid w:val="003518FC"/>
    <w:rsid w:val="00354DF7"/>
    <w:rsid w:val="00361581"/>
    <w:rsid w:val="00370F7B"/>
    <w:rsid w:val="003922A0"/>
    <w:rsid w:val="00394F0A"/>
    <w:rsid w:val="003972C4"/>
    <w:rsid w:val="00397454"/>
    <w:rsid w:val="003C2E8E"/>
    <w:rsid w:val="003C2F57"/>
    <w:rsid w:val="003C3566"/>
    <w:rsid w:val="003C4152"/>
    <w:rsid w:val="003D4AF3"/>
    <w:rsid w:val="003E40B1"/>
    <w:rsid w:val="00410DF8"/>
    <w:rsid w:val="00412CFF"/>
    <w:rsid w:val="00415053"/>
    <w:rsid w:val="00437D4F"/>
    <w:rsid w:val="00446D53"/>
    <w:rsid w:val="00476C36"/>
    <w:rsid w:val="00485235"/>
    <w:rsid w:val="00490DD6"/>
    <w:rsid w:val="00496441"/>
    <w:rsid w:val="004C1B68"/>
    <w:rsid w:val="004D0045"/>
    <w:rsid w:val="004D7146"/>
    <w:rsid w:val="004E00A4"/>
    <w:rsid w:val="00530BB2"/>
    <w:rsid w:val="00550D44"/>
    <w:rsid w:val="005A43EA"/>
    <w:rsid w:val="005E1538"/>
    <w:rsid w:val="005F129E"/>
    <w:rsid w:val="005F798D"/>
    <w:rsid w:val="00606F23"/>
    <w:rsid w:val="006110C7"/>
    <w:rsid w:val="006155C6"/>
    <w:rsid w:val="00624347"/>
    <w:rsid w:val="00665E1D"/>
    <w:rsid w:val="006721A0"/>
    <w:rsid w:val="006A7E0E"/>
    <w:rsid w:val="006B1032"/>
    <w:rsid w:val="006B14E9"/>
    <w:rsid w:val="006C0A57"/>
    <w:rsid w:val="006C4290"/>
    <w:rsid w:val="006D2795"/>
    <w:rsid w:val="006E0428"/>
    <w:rsid w:val="006F1166"/>
    <w:rsid w:val="00707B09"/>
    <w:rsid w:val="00711C02"/>
    <w:rsid w:val="007273DA"/>
    <w:rsid w:val="0074212B"/>
    <w:rsid w:val="00755625"/>
    <w:rsid w:val="00760D35"/>
    <w:rsid w:val="007723DB"/>
    <w:rsid w:val="0077310D"/>
    <w:rsid w:val="00777746"/>
    <w:rsid w:val="00785799"/>
    <w:rsid w:val="00797F3B"/>
    <w:rsid w:val="007B420E"/>
    <w:rsid w:val="007C2DC1"/>
    <w:rsid w:val="007C56D5"/>
    <w:rsid w:val="008110DF"/>
    <w:rsid w:val="00811A3B"/>
    <w:rsid w:val="00842F67"/>
    <w:rsid w:val="0085126A"/>
    <w:rsid w:val="008572C3"/>
    <w:rsid w:val="00880DA9"/>
    <w:rsid w:val="008B67DD"/>
    <w:rsid w:val="008D221A"/>
    <w:rsid w:val="008F724C"/>
    <w:rsid w:val="0090666D"/>
    <w:rsid w:val="00921C23"/>
    <w:rsid w:val="00930A2E"/>
    <w:rsid w:val="0094019B"/>
    <w:rsid w:val="00941471"/>
    <w:rsid w:val="0094220B"/>
    <w:rsid w:val="00945D78"/>
    <w:rsid w:val="009D5291"/>
    <w:rsid w:val="009E0EEA"/>
    <w:rsid w:val="009E46AD"/>
    <w:rsid w:val="009E677D"/>
    <w:rsid w:val="009F0B13"/>
    <w:rsid w:val="00A362DD"/>
    <w:rsid w:val="00A72A01"/>
    <w:rsid w:val="00A74C6D"/>
    <w:rsid w:val="00A807F6"/>
    <w:rsid w:val="00A84638"/>
    <w:rsid w:val="00A955B7"/>
    <w:rsid w:val="00AB3724"/>
    <w:rsid w:val="00AB46C4"/>
    <w:rsid w:val="00AE74A4"/>
    <w:rsid w:val="00AE78B1"/>
    <w:rsid w:val="00AF04FA"/>
    <w:rsid w:val="00B034F8"/>
    <w:rsid w:val="00B266AE"/>
    <w:rsid w:val="00B35F12"/>
    <w:rsid w:val="00B429FE"/>
    <w:rsid w:val="00B51013"/>
    <w:rsid w:val="00B80DD5"/>
    <w:rsid w:val="00B91FBC"/>
    <w:rsid w:val="00BB4AF1"/>
    <w:rsid w:val="00BC5D5E"/>
    <w:rsid w:val="00BD6527"/>
    <w:rsid w:val="00BF242A"/>
    <w:rsid w:val="00C04B74"/>
    <w:rsid w:val="00C04F75"/>
    <w:rsid w:val="00C20C80"/>
    <w:rsid w:val="00C27DC6"/>
    <w:rsid w:val="00C40CBD"/>
    <w:rsid w:val="00CA0D51"/>
    <w:rsid w:val="00CB5992"/>
    <w:rsid w:val="00CC44C9"/>
    <w:rsid w:val="00CE5B9E"/>
    <w:rsid w:val="00D169D6"/>
    <w:rsid w:val="00D42502"/>
    <w:rsid w:val="00D45081"/>
    <w:rsid w:val="00D55A7C"/>
    <w:rsid w:val="00D72101"/>
    <w:rsid w:val="00D757C3"/>
    <w:rsid w:val="00D829C1"/>
    <w:rsid w:val="00D96E3B"/>
    <w:rsid w:val="00DA7B31"/>
    <w:rsid w:val="00DC0205"/>
    <w:rsid w:val="00DC20B9"/>
    <w:rsid w:val="00DC277A"/>
    <w:rsid w:val="00DE272C"/>
    <w:rsid w:val="00DE687D"/>
    <w:rsid w:val="00DE75CB"/>
    <w:rsid w:val="00DF5674"/>
    <w:rsid w:val="00DF6EF6"/>
    <w:rsid w:val="00E00F87"/>
    <w:rsid w:val="00E41BC7"/>
    <w:rsid w:val="00E42014"/>
    <w:rsid w:val="00E435EE"/>
    <w:rsid w:val="00E45B5C"/>
    <w:rsid w:val="00E65319"/>
    <w:rsid w:val="00E74069"/>
    <w:rsid w:val="00E80333"/>
    <w:rsid w:val="00E8571F"/>
    <w:rsid w:val="00E9392B"/>
    <w:rsid w:val="00E96836"/>
    <w:rsid w:val="00EA10F0"/>
    <w:rsid w:val="00EA20F0"/>
    <w:rsid w:val="00EA7547"/>
    <w:rsid w:val="00ED56E9"/>
    <w:rsid w:val="00ED6C8F"/>
    <w:rsid w:val="00EE244F"/>
    <w:rsid w:val="00EE3543"/>
    <w:rsid w:val="00EF3051"/>
    <w:rsid w:val="00EF3586"/>
    <w:rsid w:val="00F01E37"/>
    <w:rsid w:val="00F15935"/>
    <w:rsid w:val="00F40AAF"/>
    <w:rsid w:val="00F43BD4"/>
    <w:rsid w:val="00F571BD"/>
    <w:rsid w:val="00F63204"/>
    <w:rsid w:val="00F74241"/>
    <w:rsid w:val="00F860F4"/>
    <w:rsid w:val="00F86896"/>
    <w:rsid w:val="00F960D6"/>
    <w:rsid w:val="00FA41FE"/>
    <w:rsid w:val="00FA6155"/>
    <w:rsid w:val="00FB0545"/>
    <w:rsid w:val="00FC32D3"/>
    <w:rsid w:val="00FD2AF3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table" w:styleId="Tabelacomgrade">
    <w:name w:val="Table Grid"/>
    <w:basedOn w:val="Tabelanormal"/>
    <w:uiPriority w:val="59"/>
    <w:rsid w:val="0048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table" w:styleId="Tabelacomgrade">
    <w:name w:val="Table Grid"/>
    <w:basedOn w:val="Tabelanormal"/>
    <w:uiPriority w:val="59"/>
    <w:rsid w:val="0048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0700-F195-4B5B-BEB5-9DE2CD99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PMI</cp:lastModifiedBy>
  <cp:revision>2</cp:revision>
  <cp:lastPrinted>2022-05-09T14:10:00Z</cp:lastPrinted>
  <dcterms:created xsi:type="dcterms:W3CDTF">2022-05-09T14:33:00Z</dcterms:created>
  <dcterms:modified xsi:type="dcterms:W3CDTF">2022-05-09T14:33:00Z</dcterms:modified>
</cp:coreProperties>
</file>